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jpeg" ContentType="image/jpeg"/>
  <Override PartName="/word/media/image4.wmf" ContentType="image/x-wmf"/>
  <Override PartName="/word/media/image16.jpeg" ContentType="image/jpeg"/>
  <Override PartName="/word/media/image5.wmf" ContentType="image/x-wmf"/>
  <Override PartName="/word/media/image6.wmf" ContentType="image/x-wmf"/>
  <Override PartName="/word/media/image7.png" ContentType="image/png"/>
  <Override PartName="/word/media/image8.png" ContentType="image/png"/>
  <Override PartName="/word/media/image9.png" ContentType="image/png"/>
  <Override PartName="/word/media/image10.png" ContentType="image/png"/>
  <Override PartName="/word/media/image11.jpeg" ContentType="image/jpeg"/>
  <Override PartName="/word/media/image12.jpeg" ContentType="image/jpeg"/>
  <Override PartName="/word/media/image13.jpeg" ContentType="image/jpeg"/>
  <Override PartName="/word/media/image19.png" ContentType="image/png"/>
  <Override PartName="/word/media/image14.png" ContentType="image/png"/>
  <Override PartName="/word/media/image15.png" ContentType="image/png"/>
  <Override PartName="/word/media/image17.jpeg" ContentType="image/jpeg"/>
  <Override PartName="/word/media/image18.png" ContentType="image/png"/>
  <Override PartName="/word/media/image20.png" ContentType="image/png"/>
  <Override PartName="/word/media/image21.png" ContentType="image/png"/>
  <Override PartName="/word/media/image22.png" ContentType="image/png"/>
  <Override PartName="/word/footer4.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1.xml.rels" ContentType="application/vnd.openxmlformats-package.relationships+xml"/>
  <Override PartName="/word/_rels/header5.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StandardWW"/>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
        <w:spacing w:lineRule="exact" w:line="344"/>
        <w:ind w:right="8"/>
        <w:jc w:val="center"/>
        <w:rPr/>
      </w:pPr>
      <w:r>
        <w:rPr>
          <w:rFonts w:ascii="Arial" w:hAnsi="Arial"/>
          <w:b/>
          <w:sz w:val="30"/>
        </w:rPr>
        <w:t>PIANO</w:t>
      </w:r>
      <w:r>
        <w:rPr>
          <w:rFonts w:ascii="Arial" w:hAnsi="Arial"/>
          <w:b/>
          <w:spacing w:val="-5"/>
          <w:sz w:val="30"/>
        </w:rPr>
        <w:t xml:space="preserve"> </w:t>
      </w:r>
      <w:r>
        <w:rPr>
          <w:rFonts w:ascii="Arial" w:hAnsi="Arial"/>
          <w:b/>
          <w:sz w:val="30"/>
        </w:rPr>
        <w:t>D'AZIONE</w:t>
      </w:r>
      <w:r>
        <w:rPr>
          <w:rFonts w:ascii="Arial" w:hAnsi="Arial"/>
          <w:b/>
          <w:spacing w:val="-4"/>
          <w:sz w:val="30"/>
        </w:rPr>
        <w:t xml:space="preserve"> </w:t>
      </w:r>
      <w:r>
        <w:rPr>
          <w:rFonts w:ascii="Arial" w:hAnsi="Arial"/>
          <w:b/>
          <w:sz w:val="30"/>
        </w:rPr>
        <w:t>PER</w:t>
      </w:r>
      <w:r>
        <w:rPr>
          <w:rFonts w:ascii="Arial" w:hAnsi="Arial"/>
          <w:b/>
          <w:spacing w:val="-5"/>
          <w:sz w:val="30"/>
        </w:rPr>
        <w:t xml:space="preserve"> </w:t>
      </w:r>
      <w:r>
        <w:rPr>
          <w:rFonts w:ascii="Arial" w:hAnsi="Arial"/>
          <w:b/>
          <w:sz w:val="30"/>
        </w:rPr>
        <w:t>L’AGGLOMERATO</w:t>
      </w:r>
      <w:r>
        <w:rPr>
          <w:rFonts w:ascii="Arial" w:hAnsi="Arial"/>
          <w:b/>
          <w:spacing w:val="-2"/>
          <w:sz w:val="30"/>
        </w:rPr>
        <w:t xml:space="preserve"> </w:t>
      </w:r>
      <w:r>
        <w:rPr>
          <w:rFonts w:ascii="Arial" w:hAnsi="Arial"/>
          <w:b/>
          <w:sz w:val="30"/>
        </w:rPr>
        <w:t>DI</w:t>
      </w:r>
      <w:r>
        <w:rPr>
          <w:rFonts w:ascii="Arial" w:hAnsi="Arial"/>
          <w:b/>
          <w:spacing w:val="-7"/>
          <w:sz w:val="30"/>
        </w:rPr>
        <w:t xml:space="preserve"> </w:t>
      </w:r>
      <w:r>
        <w:rPr>
          <w:rFonts w:ascii="Arial" w:hAnsi="Arial"/>
          <w:b/>
          <w:spacing w:val="-2"/>
          <w:sz w:val="30"/>
        </w:rPr>
        <w:t>CAGLIARI</w:t>
      </w:r>
    </w:p>
    <w:p>
      <w:pPr>
        <w:pStyle w:val="Standard"/>
        <w:spacing w:lineRule="auto" w:line="480"/>
        <w:ind w:hanging="2" w:left="2838" w:right="2836"/>
        <w:jc w:val="center"/>
        <w:rPr/>
      </w:pPr>
      <w:r>
        <w:rPr>
          <w:rFonts w:ascii="Arial" w:hAnsi="Arial"/>
          <w:b/>
          <w:sz w:val="30"/>
        </w:rPr>
        <w:t>ai sensi del D.Lgs. 194/05 Relazione</w:t>
      </w:r>
      <w:r>
        <w:rPr>
          <w:rFonts w:ascii="Arial" w:hAnsi="Arial"/>
          <w:b/>
          <w:spacing w:val="-21"/>
          <w:sz w:val="30"/>
        </w:rPr>
        <w:t xml:space="preserve"> </w:t>
      </w:r>
      <w:r>
        <w:rPr>
          <w:rFonts w:ascii="Arial" w:hAnsi="Arial"/>
          <w:b/>
          <w:sz w:val="30"/>
        </w:rPr>
        <w:t>Tecnica</w:t>
      </w:r>
      <w:r>
        <w:rPr>
          <w:rFonts w:ascii="Arial" w:hAnsi="Arial"/>
          <w:b/>
          <w:spacing w:val="-21"/>
          <w:sz w:val="30"/>
        </w:rPr>
        <w:t xml:space="preserve"> </w:t>
      </w:r>
      <w:r>
        <w:rPr>
          <w:rFonts w:ascii="Arial" w:hAnsi="Arial"/>
          <w:b/>
          <w:sz w:val="30"/>
        </w:rPr>
        <w:t xml:space="preserve">Generale </w:t>
      </w:r>
      <w:r>
        <w:rPr>
          <w:rFonts w:ascii="Arial" w:hAnsi="Arial"/>
          <w:b/>
          <w:spacing w:val="-2"/>
          <w:sz w:val="30"/>
        </w:rPr>
        <w:t>RTG_PA</w:t>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
        <w:rPr/>
      </w:pPr>
      <w:r>
        <w:rPr/>
      </w:r>
      <w:r>
        <w:br w:type="page"/>
      </w:r>
    </w:p>
    <w:p>
      <w:pPr>
        <w:pStyle w:val="StandardWW"/>
        <w:spacing w:before="0" w:after="0"/>
        <w:rPr/>
      </w:pPr>
      <w:r>
        <w:rPr/>
        <w:t>Il presente lavoro è stato predisposto da RAS-ARPAS in base ad una convenzione sottoscritta con la Città Metropolitana di Cagliari  nell’ambito delle competenze attribuitele dalla Regione Autonoma della Sardegna con la  delibera R.A.S. 40/24 del 22/07/2008</w:t>
      </w:r>
    </w:p>
    <w:p>
      <w:pPr>
        <w:pStyle w:val="StandardWW"/>
        <w:rPr/>
      </w:pPr>
      <w:r>
        <w:rPr/>
      </w:r>
    </w:p>
    <w:p>
      <w:pPr>
        <w:pStyle w:val="StandardWW"/>
        <w:rPr/>
      </w:pPr>
      <w:r>
        <w:rPr/>
        <w:t>Gruppo di lavoro Arpas: Dott. Filippo Locci, Dott. Massimo Cappai</w:t>
      </w:r>
    </w:p>
    <w:p>
      <w:pPr>
        <w:pStyle w:val="StandardWW"/>
        <w:spacing w:before="57" w:after="57"/>
        <w:jc w:val="center"/>
        <w:rPr>
          <w:rFonts w:ascii="Calibri" w:hAnsi="Calibri"/>
          <w:b/>
          <w:bCs/>
        </w:rPr>
      </w:pPr>
      <w:r>
        <w:rPr>
          <w:rFonts w:ascii="Calibri" w:hAnsi="Calibri"/>
          <w:b/>
          <w:bCs/>
        </w:rPr>
      </w:r>
    </w:p>
    <w:p>
      <w:pPr>
        <w:pStyle w:val="Standard"/>
        <w:rPr>
          <w:rFonts w:ascii="Arial" w:hAnsi="Arial" w:eastAsia="Times New Roman" w:cs="Arial"/>
          <w:sz w:val="20"/>
          <w:szCs w:val="20"/>
          <w:lang w:eastAsia="it-IT" w:bidi="ar-SA"/>
        </w:rPr>
      </w:pPr>
      <w:r>
        <w:rPr>
          <w:rFonts w:eastAsia="Times New Roman" w:cs="Arial" w:ascii="Arial" w:hAnsi="Arial"/>
          <w:sz w:val="20"/>
          <w:szCs w:val="20"/>
          <w:lang w:eastAsia="it-IT" w:bidi="ar-SA"/>
        </w:rPr>
      </w:r>
      <w:r>
        <w:br w:type="page"/>
      </w:r>
    </w:p>
    <w:p>
      <w:pPr>
        <w:pStyle w:val="Standard"/>
        <w:spacing w:before="0" w:after="0"/>
        <w:jc w:val="center"/>
        <w:rPr/>
      </w:pPr>
      <w:r>
        <w:rPr/>
        <w:t>INDICE</w:t>
      </w:r>
    </w:p>
    <w:sdt>
      <w:sdtPr>
        <w:docPartObj>
          <w:docPartGallery w:val="Table of Contents"/>
          <w:docPartUnique w:val="true"/>
        </w:docPartObj>
      </w:sdtPr>
      <w:sdtContent>
        <w:p>
          <w:pPr>
            <w:pStyle w:val="Standard"/>
            <w:tabs>
              <w:tab w:val="clear" w:pos="708"/>
              <w:tab w:val="right" w:pos="9972" w:leader="dot"/>
            </w:tabs>
            <w:rPr/>
          </w:pPr>
          <w:r>
            <w:fldChar w:fldCharType="begin"/>
          </w:r>
          <w:r>
            <w:rPr>
              <w:sz w:val="18"/>
              <w:szCs w:val="20"/>
              <w:bCs/>
              <w:rFonts w:cs="Arial" w:ascii="Arial" w:hAnsi="Arial"/>
            </w:rPr>
            <w:instrText xml:space="preserve"> TOC \o "1-3" \u \h</w:instrText>
          </w:r>
          <w:r>
            <w:rPr>
              <w:sz w:val="18"/>
              <w:szCs w:val="20"/>
              <w:bCs/>
              <w:rFonts w:cs="Arial" w:ascii="Arial" w:hAnsi="Arial"/>
            </w:rPr>
            <w:fldChar w:fldCharType="separate"/>
          </w:r>
          <w:r>
            <w:rPr>
              <w:rFonts w:cs="Arial" w:ascii="Arial" w:hAnsi="Arial"/>
              <w:bCs/>
              <w:sz w:val="18"/>
              <w:szCs w:val="20"/>
            </w:rPr>
            <w:t>Sommario</w:t>
          </w:r>
        </w:p>
        <w:p>
          <w:pPr>
            <w:pStyle w:val="Contents1"/>
            <w:tabs>
              <w:tab w:val="clear" w:pos="708"/>
              <w:tab w:val="right" w:pos="480" w:leader="dot"/>
              <w:tab w:val="right" w:pos="9628" w:leader="dot"/>
            </w:tabs>
            <w:rPr/>
          </w:pPr>
          <w:hyperlink w:anchor="_Toc178778173">
            <w:r>
              <w:rPr>
                <w:rStyle w:val="Saltoaindice"/>
                <w:rFonts w:cs="Arial" w:ascii="Arial" w:hAnsi="Arial"/>
                <w:sz w:val="18"/>
                <w:szCs w:val="20"/>
              </w:rPr>
              <w:t>1.</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_Toc178778173 \h</w:instrText>
            </w:r>
            <w:r>
              <w:rPr>
                <w:webHidden/>
              </w:rPr>
              <w:fldChar w:fldCharType="separate"/>
            </w:r>
            <w:r>
              <w:rPr>
                <w:rStyle w:val="Saltoaindice"/>
                <w:rFonts w:cs="Arial" w:ascii="Arial" w:hAnsi="Arial"/>
                <w:sz w:val="18"/>
                <w:szCs w:val="20"/>
              </w:rPr>
              <w:t>PREMESSA</w:t>
              <w:tab/>
              <w:t>5</w:t>
            </w:r>
            <w:r>
              <w:rPr>
                <w:webHidden/>
              </w:rPr>
              <w:fldChar w:fldCharType="end"/>
            </w:r>
          </w:hyperlink>
        </w:p>
        <w:p>
          <w:pPr>
            <w:pStyle w:val="Contents1"/>
            <w:tabs>
              <w:tab w:val="clear" w:pos="708"/>
              <w:tab w:val="right" w:pos="480" w:leader="dot"/>
              <w:tab w:val="right" w:pos="9628" w:leader="dot"/>
            </w:tabs>
            <w:rPr/>
          </w:pPr>
          <w:hyperlink w:anchor="_Toc178778174">
            <w:r>
              <w:rPr>
                <w:rStyle w:val="Saltoaindice"/>
                <w:rFonts w:cs="Arial" w:ascii="Arial" w:hAnsi="Arial"/>
                <w:sz w:val="18"/>
                <w:szCs w:val="20"/>
              </w:rPr>
              <w:t>2.</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_Toc178778174 \h</w:instrText>
            </w:r>
            <w:r>
              <w:rPr>
                <w:webHidden/>
              </w:rPr>
              <w:fldChar w:fldCharType="separate"/>
            </w:r>
            <w:r>
              <w:rPr>
                <w:rStyle w:val="Saltoaindice"/>
                <w:rFonts w:cs="Arial" w:ascii="Arial" w:hAnsi="Arial"/>
                <w:sz w:val="18"/>
                <w:szCs w:val="20"/>
              </w:rPr>
              <w:t>DESCRIZIONE DELL’AGGLOMERATO, DELLE INFRASTRUTTURE E DELLA ALTRE SORGENTI DA PRENDERE IN CONSIDERAZIONE - Requisito di cui all. 5 D.Lgs. 194/2005 lett.a)</w:t>
              <w:tab/>
              <w:t>7</w:t>
            </w:r>
            <w:r>
              <w:rPr>
                <w:webHidden/>
              </w:rPr>
              <w:fldChar w:fldCharType="end"/>
            </w:r>
          </w:hyperlink>
        </w:p>
        <w:p>
          <w:pPr>
            <w:pStyle w:val="Contents1"/>
            <w:tabs>
              <w:tab w:val="clear" w:pos="708"/>
              <w:tab w:val="right" w:pos="480" w:leader="dot"/>
              <w:tab w:val="right" w:pos="9628" w:leader="dot"/>
            </w:tabs>
            <w:rPr/>
          </w:pPr>
          <w:hyperlink w:anchor="_Toc178778175">
            <w:r>
              <w:rPr>
                <w:rStyle w:val="Saltoaindice"/>
                <w:rFonts w:cs="Arial" w:ascii="Arial" w:hAnsi="Arial"/>
                <w:sz w:val="18"/>
                <w:szCs w:val="20"/>
              </w:rPr>
              <w:t>3.</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_Toc178778175 \h</w:instrText>
            </w:r>
            <w:r>
              <w:rPr>
                <w:webHidden/>
              </w:rPr>
              <w:fldChar w:fldCharType="separate"/>
            </w:r>
            <w:r>
              <w:rPr>
                <w:rStyle w:val="Saltoaindice"/>
                <w:rFonts w:cs="Arial" w:ascii="Arial" w:hAnsi="Arial"/>
                <w:sz w:val="18"/>
                <w:szCs w:val="20"/>
              </w:rPr>
              <w:t>AUTORITÀ COMPETENTE - Requisito di cui all. 5 D.Lgs. 194/2005 lett.b)</w:t>
              <w:tab/>
              <w:t>9</w:t>
            </w:r>
            <w:r>
              <w:rPr>
                <w:webHidden/>
              </w:rPr>
              <w:fldChar w:fldCharType="end"/>
            </w:r>
          </w:hyperlink>
        </w:p>
        <w:p>
          <w:pPr>
            <w:pStyle w:val="Contents1"/>
            <w:tabs>
              <w:tab w:val="clear" w:pos="708"/>
              <w:tab w:val="right" w:pos="480" w:leader="dot"/>
              <w:tab w:val="right" w:pos="9628" w:leader="dot"/>
            </w:tabs>
            <w:rPr/>
          </w:pPr>
          <w:hyperlink w:anchor="_Toc178778176">
            <w:r>
              <w:rPr>
                <w:rStyle w:val="Saltoaindice"/>
                <w:rFonts w:cs="Arial" w:ascii="Arial" w:hAnsi="Arial"/>
                <w:sz w:val="18"/>
                <w:szCs w:val="20"/>
              </w:rPr>
              <w:t>4.</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_Toc178778176 \h</w:instrText>
            </w:r>
            <w:r>
              <w:rPr>
                <w:webHidden/>
              </w:rPr>
              <w:fldChar w:fldCharType="separate"/>
            </w:r>
            <w:r>
              <w:rPr>
                <w:rStyle w:val="Saltoaindice"/>
                <w:rFonts w:cs="Arial" w:ascii="Arial" w:hAnsi="Arial"/>
                <w:sz w:val="18"/>
                <w:szCs w:val="20"/>
              </w:rPr>
              <w:t>CONTESTO GIURIDICO - Requisito di cui all. 5 D.Lgs. 194/2005 lett.c)</w:t>
              <w:tab/>
              <w:t>10</w:t>
            </w:r>
            <w:r>
              <w:rPr>
                <w:webHidden/>
              </w:rPr>
              <w:fldChar w:fldCharType="end"/>
            </w:r>
          </w:hyperlink>
        </w:p>
        <w:p>
          <w:pPr>
            <w:pStyle w:val="Contents1"/>
            <w:tabs>
              <w:tab w:val="clear" w:pos="708"/>
              <w:tab w:val="right" w:pos="480" w:leader="dot"/>
              <w:tab w:val="right" w:pos="9628" w:leader="dot"/>
            </w:tabs>
            <w:rPr/>
          </w:pPr>
          <w:hyperlink w:anchor="_Toc178778177">
            <w:r>
              <w:rPr>
                <w:rStyle w:val="Saltoaindice"/>
                <w:rFonts w:cs="Arial" w:ascii="Arial" w:hAnsi="Arial"/>
                <w:sz w:val="18"/>
                <w:szCs w:val="20"/>
              </w:rPr>
              <w:t>5.</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_Toc178778177 \h</w:instrText>
            </w:r>
            <w:r>
              <w:rPr>
                <w:webHidden/>
              </w:rPr>
              <w:fldChar w:fldCharType="separate"/>
            </w:r>
            <w:r>
              <w:rPr>
                <w:rStyle w:val="Saltoaindice"/>
                <w:rFonts w:cs="Arial" w:ascii="Arial" w:hAnsi="Arial"/>
                <w:sz w:val="18"/>
                <w:szCs w:val="20"/>
              </w:rPr>
              <w:t>VALORI LIMITE IN VIGORE AI SENSI DELL’ART.5 DEL D.LGS. 194/2005 - Requisito di cui all. 5 D.Lgs. 194/2005 lett.d)</w:t>
              <w:tab/>
              <w:t>13</w:t>
            </w:r>
            <w:r>
              <w:rPr>
                <w:webHidden/>
              </w:rPr>
              <w:fldChar w:fldCharType="end"/>
            </w:r>
          </w:hyperlink>
        </w:p>
        <w:p>
          <w:pPr>
            <w:pStyle w:val="Contents1"/>
            <w:tabs>
              <w:tab w:val="clear" w:pos="708"/>
              <w:tab w:val="right" w:pos="480" w:leader="dot"/>
              <w:tab w:val="right" w:pos="9628" w:leader="dot"/>
            </w:tabs>
            <w:rPr/>
          </w:pPr>
          <w:hyperlink w:anchor="_Toc178778178">
            <w:r>
              <w:rPr>
                <w:rStyle w:val="Saltoaindice"/>
                <w:rFonts w:cs="Arial" w:ascii="Arial" w:hAnsi="Arial"/>
                <w:sz w:val="18"/>
                <w:szCs w:val="20"/>
              </w:rPr>
              <w:t>6.</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_Toc178778178 \h</w:instrText>
            </w:r>
            <w:r>
              <w:rPr>
                <w:webHidden/>
              </w:rPr>
              <w:fldChar w:fldCharType="separate"/>
            </w:r>
            <w:r>
              <w:rPr>
                <w:rStyle w:val="Saltoaindice"/>
                <w:rFonts w:cs="Arial" w:ascii="Arial" w:hAnsi="Arial"/>
                <w:sz w:val="18"/>
                <w:szCs w:val="20"/>
              </w:rPr>
              <w:t>SINTESI DEI RISULTATI DELLA MAPPATURA ACUSTICA - Requisito di cui all. 5 D.Lgs. 194/2005 lett.e)</w:t>
              <w:tab/>
              <w:t>16</w:t>
            </w:r>
            <w:r>
              <w:rPr>
                <w:webHidden/>
              </w:rPr>
              <w:fldChar w:fldCharType="end"/>
            </w:r>
          </w:hyperlink>
        </w:p>
        <w:p>
          <w:pPr>
            <w:pStyle w:val="Contents1"/>
            <w:tabs>
              <w:tab w:val="clear" w:pos="708"/>
              <w:tab w:val="right" w:pos="480" w:leader="dot"/>
              <w:tab w:val="right" w:pos="9628" w:leader="dot"/>
            </w:tabs>
            <w:rPr/>
          </w:pPr>
          <w:hyperlink w:anchor="_Toc178778179">
            <w:r>
              <w:rPr>
                <w:rStyle w:val="Saltoaindice"/>
                <w:rFonts w:cs="Arial" w:ascii="Arial" w:hAnsi="Arial"/>
                <w:sz w:val="18"/>
                <w:szCs w:val="20"/>
              </w:rPr>
              <w:t>7.</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_Toc178778179 \h</w:instrText>
            </w:r>
            <w:r>
              <w:rPr>
                <w:webHidden/>
              </w:rPr>
              <w:fldChar w:fldCharType="separate"/>
            </w:r>
            <w:r>
              <w:rPr>
                <w:rStyle w:val="Saltoaindice"/>
                <w:rFonts w:cs="Arial" w:ascii="Arial" w:hAnsi="Arial"/>
                <w:sz w:val="18"/>
                <w:szCs w:val="20"/>
              </w:rPr>
              <w:t>VALUTAZIONE DEL NUMERO STIMATO DI PERSONE ESPOSTE AL RUMORE, INDIVIDUAZIONE DEI PROBLEMI E DELLE SITUAZIONI DA MIGLIORARE - Requisito di cui all. 5 D.Lgs. 194/2005 lett.f)</w:t>
              <w:tab/>
              <w:t>17</w:t>
            </w:r>
            <w:r>
              <w:rPr>
                <w:webHidden/>
              </w:rPr>
              <w:fldChar w:fldCharType="end"/>
            </w:r>
          </w:hyperlink>
        </w:p>
        <w:p>
          <w:pPr>
            <w:pStyle w:val="Contents1"/>
            <w:tabs>
              <w:tab w:val="clear" w:pos="708"/>
              <w:tab w:val="right" w:pos="480" w:leader="dot"/>
              <w:tab w:val="right" w:pos="9628" w:leader="dot"/>
            </w:tabs>
            <w:rPr/>
          </w:pPr>
          <w:hyperlink w:anchor="_Toc178778180">
            <w:r>
              <w:rPr>
                <w:rStyle w:val="Saltoaindice"/>
                <w:rFonts w:cs="Arial" w:ascii="Arial" w:hAnsi="Arial"/>
                <w:sz w:val="18"/>
                <w:szCs w:val="20"/>
              </w:rPr>
              <w:t>8.</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_Toc178778180 \h</w:instrText>
            </w:r>
            <w:r>
              <w:rPr>
                <w:webHidden/>
              </w:rPr>
              <w:fldChar w:fldCharType="separate"/>
            </w:r>
            <w:r>
              <w:rPr>
                <w:rStyle w:val="Saltoaindice"/>
                <w:rFonts w:cs="Arial" w:ascii="Arial" w:hAnsi="Arial"/>
                <w:sz w:val="18"/>
                <w:szCs w:val="20"/>
              </w:rPr>
              <w:t>RESOCONTO DELLE CONSULTAZIONI PUBBLICHE ORGANIZZATE AI SENSI DELL’ARTICOLO 8 DEL D.LGS. 194/2005 - Requisito di cui all. 5 D.Lgs. 194/2005 lett.g)</w:t>
              <w:tab/>
              <w:t>19</w:t>
            </w:r>
            <w:r>
              <w:rPr>
                <w:webHidden/>
              </w:rPr>
              <w:fldChar w:fldCharType="end"/>
            </w:r>
          </w:hyperlink>
        </w:p>
        <w:p>
          <w:pPr>
            <w:pStyle w:val="Contents1"/>
            <w:tabs>
              <w:tab w:val="clear" w:pos="708"/>
              <w:tab w:val="right" w:pos="480" w:leader="dot"/>
              <w:tab w:val="right" w:pos="9628" w:leader="dot"/>
            </w:tabs>
            <w:rPr/>
          </w:pPr>
          <w:hyperlink w:anchor="_Toc178778181">
            <w:r>
              <w:rPr>
                <w:rStyle w:val="Saltoaindice"/>
                <w:rFonts w:cs="Arial" w:ascii="Arial" w:hAnsi="Arial"/>
                <w:sz w:val="18"/>
                <w:szCs w:val="20"/>
              </w:rPr>
              <w:t>9.</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_Toc178778181 \h</w:instrText>
            </w:r>
            <w:r>
              <w:rPr>
                <w:webHidden/>
              </w:rPr>
              <w:fldChar w:fldCharType="separate"/>
            </w:r>
            <w:r>
              <w:rPr>
                <w:rStyle w:val="Saltoaindice"/>
                <w:rFonts w:cs="Arial" w:ascii="Arial" w:hAnsi="Arial"/>
                <w:sz w:val="18"/>
                <w:szCs w:val="20"/>
              </w:rPr>
              <w:t>MISURE ANTIRUMORE IN ATTO E IN FASE DI PREPARAZIONE, INTERVENTI PIANIFICATI PER I SUCCESSIVI CINQUE ANNI E STRATEGIA DI LUNGO TERMINE - piani di risanamento acustico delle infrastrutture di trasporto - Requisiti di cui all. 5 D.Lgs. 194/2005 lett.h) – i) - l)</w:t>
              <w:tab/>
              <w:t>20</w:t>
            </w:r>
            <w:r>
              <w:rPr>
                <w:webHidden/>
              </w:rPr>
              <w:fldChar w:fldCharType="end"/>
            </w:r>
          </w:hyperlink>
        </w:p>
        <w:p>
          <w:pPr>
            <w:pStyle w:val="Contents2"/>
            <w:tabs>
              <w:tab w:val="clear" w:pos="708"/>
              <w:tab w:val="right" w:pos="1119" w:leader="dot"/>
              <w:tab w:val="right" w:pos="9868" w:leader="dot"/>
            </w:tabs>
            <w:rPr/>
          </w:pPr>
          <w:hyperlink w:anchor="_Toc178778182">
            <w:r>
              <w:rPr>
                <w:rStyle w:val="Saltoaindice"/>
                <w:rFonts w:cs="Arial" w:ascii="Arial" w:hAnsi="Arial"/>
                <w:sz w:val="18"/>
                <w:szCs w:val="20"/>
              </w:rPr>
              <w:t>9.1.</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_Toc178778182 \h</w:instrText>
            </w:r>
            <w:r>
              <w:rPr>
                <w:webHidden/>
              </w:rPr>
              <w:fldChar w:fldCharType="separate"/>
            </w:r>
            <w:r>
              <w:rPr>
                <w:rStyle w:val="Saltoaindice"/>
                <w:rFonts w:cs="Arial" w:ascii="Arial" w:hAnsi="Arial"/>
                <w:sz w:val="18"/>
                <w:szCs w:val="20"/>
              </w:rPr>
              <w:t>PIANI DI RISANAMENTO ACUSTICO DELLE INFRASTRUTTURE STRADALI</w:t>
              <w:tab/>
              <w:t>21</w:t>
            </w:r>
            <w:r>
              <w:rPr>
                <w:webHidden/>
              </w:rPr>
              <w:fldChar w:fldCharType="end"/>
            </w:r>
          </w:hyperlink>
        </w:p>
        <w:p>
          <w:pPr>
            <w:pStyle w:val="Contents3"/>
            <w:tabs>
              <w:tab w:val="clear" w:pos="708"/>
              <w:tab w:val="right" w:pos="2020" w:leader="dot"/>
              <w:tab w:val="right" w:pos="10108" w:leader="dot"/>
            </w:tabs>
            <w:rPr/>
          </w:pPr>
          <w:hyperlink w:anchor="_Toc178778183">
            <w:r>
              <w:rPr>
                <w:rStyle w:val="Saltoaindice"/>
                <w:rFonts w:cs="Arial" w:ascii="Arial" w:hAnsi="Arial"/>
                <w:b/>
                <w:sz w:val="18"/>
                <w:szCs w:val="20"/>
              </w:rPr>
              <w:t>9.1.1.</w:t>
            </w:r>
            <w:r>
              <w:rPr>
                <w:rStyle w:val="Saltoaindice"/>
                <w:rFonts w:cs="Arial" w:ascii="Arial" w:hAnsi="Arial"/>
                <w:kern w:val="0"/>
                <w:sz w:val="18"/>
                <w:szCs w:val="20"/>
                <w:lang w:eastAsia="it-IT" w:bidi="ar-SA"/>
              </w:rPr>
              <w:tab/>
            </w:r>
            <w:r>
              <w:rPr>
                <w:rStyle w:val="Saltoaindice"/>
                <w:rFonts w:cs="Arial" w:ascii="Arial" w:hAnsi="Arial"/>
                <w:b/>
                <w:sz w:val="18"/>
                <w:szCs w:val="20"/>
              </w:rPr>
              <w:t>Strade comunali</w:t>
            </w:r>
            <w:r>
              <w:rPr>
                <w:webHidden/>
              </w:rPr>
              <w:fldChar w:fldCharType="begin"/>
            </w:r>
            <w:r>
              <w:rPr>
                <w:webHidden/>
              </w:rPr>
              <w:instrText xml:space="preserve">PAGEREF _Toc178778183 \h</w:instrText>
            </w:r>
            <w:r>
              <w:rPr>
                <w:webHidden/>
              </w:rPr>
              <w:fldChar w:fldCharType="separate"/>
            </w:r>
            <w:r>
              <w:rPr>
                <w:rStyle w:val="Saltoaindice"/>
                <w:rFonts w:cs="Arial" w:ascii="Arial" w:hAnsi="Arial"/>
                <w:sz w:val="18"/>
                <w:szCs w:val="20"/>
              </w:rPr>
              <w:tab/>
              <w:t>23</w:t>
            </w:r>
            <w:r>
              <w:rPr>
                <w:webHidden/>
              </w:rPr>
              <w:fldChar w:fldCharType="end"/>
            </w:r>
          </w:hyperlink>
        </w:p>
        <w:p>
          <w:pPr>
            <w:pStyle w:val="Contents3"/>
            <w:tabs>
              <w:tab w:val="clear" w:pos="708"/>
              <w:tab w:val="right" w:pos="2020" w:leader="dot"/>
              <w:tab w:val="right" w:pos="10108" w:leader="dot"/>
            </w:tabs>
            <w:rPr/>
          </w:pPr>
          <w:hyperlink w:anchor="_Toc178778184">
            <w:r>
              <w:rPr>
                <w:rStyle w:val="Saltoaindice"/>
                <w:rFonts w:cs="Arial" w:ascii="Arial" w:hAnsi="Arial"/>
                <w:b/>
                <w:sz w:val="18"/>
                <w:szCs w:val="20"/>
              </w:rPr>
              <w:t>9.1.2.</w:t>
            </w:r>
            <w:r>
              <w:rPr>
                <w:rStyle w:val="Saltoaindice"/>
                <w:rFonts w:cs="Arial" w:ascii="Arial" w:hAnsi="Arial"/>
                <w:kern w:val="0"/>
                <w:sz w:val="18"/>
                <w:szCs w:val="20"/>
                <w:lang w:eastAsia="it-IT" w:bidi="ar-SA"/>
              </w:rPr>
              <w:tab/>
            </w:r>
            <w:r>
              <w:rPr>
                <w:rStyle w:val="Saltoaindice"/>
                <w:rFonts w:cs="Arial" w:ascii="Arial" w:hAnsi="Arial"/>
                <w:b/>
                <w:sz w:val="18"/>
                <w:szCs w:val="20"/>
              </w:rPr>
              <w:t>Strade provinciali - Città Metropolitana di Cagliari</w:t>
            </w:r>
            <w:r>
              <w:rPr>
                <w:webHidden/>
              </w:rPr>
              <w:fldChar w:fldCharType="begin"/>
            </w:r>
            <w:r>
              <w:rPr>
                <w:webHidden/>
              </w:rPr>
              <w:instrText xml:space="preserve">PAGEREF _Toc178778184 \h</w:instrText>
            </w:r>
            <w:r>
              <w:rPr>
                <w:webHidden/>
              </w:rPr>
              <w:fldChar w:fldCharType="separate"/>
            </w:r>
            <w:r>
              <w:rPr>
                <w:rStyle w:val="Saltoaindice"/>
                <w:rFonts w:cs="Arial" w:ascii="Arial" w:hAnsi="Arial"/>
                <w:sz w:val="18"/>
                <w:szCs w:val="20"/>
              </w:rPr>
              <w:tab/>
              <w:t>25</w:t>
            </w:r>
            <w:r>
              <w:rPr>
                <w:webHidden/>
              </w:rPr>
              <w:fldChar w:fldCharType="end"/>
            </w:r>
          </w:hyperlink>
        </w:p>
        <w:p>
          <w:pPr>
            <w:pStyle w:val="Contents3"/>
            <w:tabs>
              <w:tab w:val="clear" w:pos="708"/>
              <w:tab w:val="right" w:pos="2020" w:leader="dot"/>
              <w:tab w:val="right" w:pos="10108" w:leader="dot"/>
            </w:tabs>
            <w:rPr/>
          </w:pPr>
          <w:hyperlink w:anchor="_Toc178778185">
            <w:r>
              <w:rPr>
                <w:rStyle w:val="Saltoaindice"/>
                <w:rFonts w:cs="Arial" w:ascii="Arial" w:hAnsi="Arial"/>
                <w:b/>
                <w:sz w:val="18"/>
                <w:szCs w:val="20"/>
              </w:rPr>
              <w:t>9.1.3.</w:t>
            </w:r>
            <w:r>
              <w:rPr>
                <w:rStyle w:val="Saltoaindice"/>
                <w:rFonts w:cs="Arial" w:ascii="Arial" w:hAnsi="Arial"/>
                <w:kern w:val="0"/>
                <w:sz w:val="18"/>
                <w:szCs w:val="20"/>
                <w:lang w:eastAsia="it-IT" w:bidi="ar-SA"/>
              </w:rPr>
              <w:tab/>
            </w:r>
            <w:r>
              <w:rPr>
                <w:rStyle w:val="Saltoaindice"/>
                <w:rFonts w:cs="Arial" w:ascii="Arial" w:hAnsi="Arial"/>
                <w:b/>
                <w:sz w:val="18"/>
                <w:szCs w:val="20"/>
              </w:rPr>
              <w:t>Strade statali - A.N.A.S. S.p.A.</w:t>
            </w:r>
            <w:r>
              <w:rPr>
                <w:webHidden/>
              </w:rPr>
              <w:fldChar w:fldCharType="begin"/>
            </w:r>
            <w:r>
              <w:rPr>
                <w:webHidden/>
              </w:rPr>
              <w:instrText xml:space="preserve">PAGEREF _Toc178778185 \h</w:instrText>
            </w:r>
            <w:r>
              <w:rPr>
                <w:webHidden/>
              </w:rPr>
              <w:fldChar w:fldCharType="separate"/>
            </w:r>
            <w:r>
              <w:rPr>
                <w:rStyle w:val="Saltoaindice"/>
                <w:rFonts w:cs="Arial" w:ascii="Arial" w:hAnsi="Arial"/>
                <w:sz w:val="18"/>
                <w:szCs w:val="20"/>
              </w:rPr>
              <w:tab/>
              <w:t>26</w:t>
            </w:r>
            <w:r>
              <w:rPr>
                <w:webHidden/>
              </w:rPr>
              <w:fldChar w:fldCharType="end"/>
            </w:r>
          </w:hyperlink>
        </w:p>
        <w:p>
          <w:pPr>
            <w:pStyle w:val="Contents2"/>
            <w:tabs>
              <w:tab w:val="clear" w:pos="708"/>
              <w:tab w:val="right" w:pos="1119" w:leader="dot"/>
              <w:tab w:val="right" w:pos="9868" w:leader="dot"/>
            </w:tabs>
            <w:rPr/>
          </w:pPr>
          <w:hyperlink w:anchor="_Toc178778186">
            <w:r>
              <w:rPr>
                <w:rStyle w:val="Saltoaindice"/>
                <w:rFonts w:cs="Arial" w:ascii="Arial" w:hAnsi="Arial"/>
                <w:sz w:val="18"/>
                <w:szCs w:val="20"/>
              </w:rPr>
              <w:t>9.2.</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_Toc178778186 \h</w:instrText>
            </w:r>
            <w:r>
              <w:rPr>
                <w:webHidden/>
              </w:rPr>
              <w:fldChar w:fldCharType="separate"/>
            </w:r>
            <w:r>
              <w:rPr>
                <w:rStyle w:val="Saltoaindice"/>
                <w:rFonts w:cs="Arial" w:ascii="Arial" w:hAnsi="Arial"/>
                <w:sz w:val="18"/>
                <w:szCs w:val="20"/>
              </w:rPr>
              <w:t>Piani di risanamento acustico trasporto pubblico locale</w:t>
              <w:tab/>
              <w:t>29</w:t>
            </w:r>
            <w:r>
              <w:rPr>
                <w:webHidden/>
              </w:rPr>
              <w:fldChar w:fldCharType="end"/>
            </w:r>
          </w:hyperlink>
        </w:p>
        <w:p>
          <w:pPr>
            <w:pStyle w:val="Contents3"/>
            <w:tabs>
              <w:tab w:val="clear" w:pos="708"/>
              <w:tab w:val="right" w:pos="2020" w:leader="dot"/>
              <w:tab w:val="right" w:pos="10108" w:leader="dot"/>
            </w:tabs>
            <w:rPr/>
          </w:pPr>
          <w:hyperlink w:anchor="_Toc178778187">
            <w:r>
              <w:rPr>
                <w:rStyle w:val="Saltoaindice"/>
                <w:rFonts w:cs="Arial" w:ascii="Arial" w:hAnsi="Arial"/>
                <w:b/>
                <w:sz w:val="18"/>
                <w:szCs w:val="20"/>
              </w:rPr>
              <w:t>9.2.1.</w:t>
            </w:r>
            <w:r>
              <w:rPr>
                <w:rStyle w:val="Saltoaindice"/>
                <w:rFonts w:cs="Arial" w:ascii="Arial" w:hAnsi="Arial"/>
                <w:kern w:val="0"/>
                <w:sz w:val="18"/>
                <w:szCs w:val="20"/>
                <w:lang w:eastAsia="it-IT" w:bidi="ar-SA"/>
              </w:rPr>
              <w:tab/>
            </w:r>
            <w:r>
              <w:rPr>
                <w:rStyle w:val="Saltoaindice"/>
                <w:rFonts w:cs="Arial" w:ascii="Arial" w:hAnsi="Arial"/>
                <w:b/>
                <w:sz w:val="18"/>
                <w:szCs w:val="20"/>
              </w:rPr>
              <w:t>Trasporto Pubblico Locale - C.T.M. S.p.A.</w:t>
            </w:r>
            <w:r>
              <w:rPr>
                <w:webHidden/>
              </w:rPr>
              <w:fldChar w:fldCharType="begin"/>
            </w:r>
            <w:r>
              <w:rPr>
                <w:webHidden/>
              </w:rPr>
              <w:instrText xml:space="preserve">PAGEREF _Toc178778187 \h</w:instrText>
            </w:r>
            <w:r>
              <w:rPr>
                <w:webHidden/>
              </w:rPr>
              <w:fldChar w:fldCharType="separate"/>
            </w:r>
            <w:r>
              <w:rPr>
                <w:rStyle w:val="Saltoaindice"/>
                <w:rFonts w:cs="Arial" w:ascii="Arial" w:hAnsi="Arial"/>
                <w:sz w:val="18"/>
                <w:szCs w:val="20"/>
              </w:rPr>
              <w:tab/>
              <w:t>30</w:t>
            </w:r>
            <w:r>
              <w:rPr>
                <w:webHidden/>
              </w:rPr>
              <w:fldChar w:fldCharType="end"/>
            </w:r>
          </w:hyperlink>
        </w:p>
        <w:p>
          <w:pPr>
            <w:pStyle w:val="Contents3"/>
            <w:tabs>
              <w:tab w:val="clear" w:pos="708"/>
              <w:tab w:val="right" w:pos="2020" w:leader="dot"/>
              <w:tab w:val="right" w:pos="10108" w:leader="dot"/>
            </w:tabs>
            <w:rPr/>
          </w:pPr>
          <w:hyperlink w:anchor="_Toc178778188">
            <w:r>
              <w:rPr>
                <w:rStyle w:val="Saltoaindice"/>
                <w:rFonts w:cs="Arial" w:ascii="Arial" w:hAnsi="Arial"/>
                <w:b/>
                <w:sz w:val="18"/>
                <w:szCs w:val="20"/>
              </w:rPr>
              <w:t>9.2.2.</w:t>
            </w:r>
            <w:r>
              <w:rPr>
                <w:rStyle w:val="Saltoaindice"/>
                <w:rFonts w:cs="Arial" w:ascii="Arial" w:hAnsi="Arial"/>
                <w:kern w:val="0"/>
                <w:sz w:val="18"/>
                <w:szCs w:val="20"/>
                <w:lang w:eastAsia="it-IT" w:bidi="ar-SA"/>
              </w:rPr>
              <w:tab/>
            </w:r>
            <w:r>
              <w:rPr>
                <w:rStyle w:val="Saltoaindice"/>
                <w:rFonts w:cs="Arial" w:ascii="Arial" w:hAnsi="Arial"/>
                <w:b/>
                <w:sz w:val="18"/>
                <w:szCs w:val="20"/>
              </w:rPr>
              <w:t>Trasporto Pubblico Locale - A.R.S.T. S.p.A.</w:t>
            </w:r>
            <w:r>
              <w:rPr>
                <w:webHidden/>
              </w:rPr>
              <w:fldChar w:fldCharType="begin"/>
            </w:r>
            <w:r>
              <w:rPr>
                <w:webHidden/>
              </w:rPr>
              <w:instrText xml:space="preserve">PAGEREF _Toc178778188 \h</w:instrText>
            </w:r>
            <w:r>
              <w:rPr>
                <w:webHidden/>
              </w:rPr>
              <w:fldChar w:fldCharType="separate"/>
            </w:r>
            <w:r>
              <w:rPr>
                <w:rStyle w:val="Saltoaindice"/>
                <w:rFonts w:cs="Arial" w:ascii="Arial" w:hAnsi="Arial"/>
                <w:sz w:val="18"/>
                <w:szCs w:val="20"/>
              </w:rPr>
              <w:tab/>
              <w:t>35</w:t>
            </w:r>
            <w:r>
              <w:rPr>
                <w:webHidden/>
              </w:rPr>
              <w:fldChar w:fldCharType="end"/>
            </w:r>
          </w:hyperlink>
        </w:p>
        <w:p>
          <w:pPr>
            <w:pStyle w:val="Contents3"/>
            <w:tabs>
              <w:tab w:val="clear" w:pos="708"/>
              <w:tab w:val="right" w:pos="2020" w:leader="dot"/>
              <w:tab w:val="right" w:pos="10108" w:leader="dot"/>
            </w:tabs>
            <w:rPr/>
          </w:pPr>
          <w:hyperlink w:anchor="_Toc178778189">
            <w:r>
              <w:rPr>
                <w:rStyle w:val="Saltoaindice"/>
                <w:rFonts w:cs="Arial" w:ascii="Arial" w:hAnsi="Arial"/>
                <w:b/>
                <w:sz w:val="18"/>
                <w:szCs w:val="20"/>
              </w:rPr>
              <w:t>9.2.3.</w:t>
            </w:r>
            <w:r>
              <w:rPr>
                <w:rStyle w:val="Saltoaindice"/>
                <w:rFonts w:cs="Arial" w:ascii="Arial" w:hAnsi="Arial"/>
                <w:kern w:val="0"/>
                <w:sz w:val="18"/>
                <w:szCs w:val="20"/>
                <w:lang w:eastAsia="it-IT" w:bidi="ar-SA"/>
              </w:rPr>
              <w:tab/>
            </w:r>
            <w:r>
              <w:rPr>
                <w:rStyle w:val="Saltoaindice"/>
                <w:rFonts w:cs="Arial" w:ascii="Arial" w:hAnsi="Arial"/>
                <w:b/>
                <w:sz w:val="18"/>
                <w:szCs w:val="20"/>
              </w:rPr>
              <w:t>Rete metrotranviaria – A.R.S.T. S.p.A.</w:t>
            </w:r>
            <w:r>
              <w:rPr>
                <w:webHidden/>
              </w:rPr>
              <w:fldChar w:fldCharType="begin"/>
            </w:r>
            <w:r>
              <w:rPr>
                <w:webHidden/>
              </w:rPr>
              <w:instrText xml:space="preserve">PAGEREF _Toc178778189 \h</w:instrText>
            </w:r>
            <w:r>
              <w:rPr>
                <w:webHidden/>
              </w:rPr>
              <w:fldChar w:fldCharType="separate"/>
            </w:r>
            <w:r>
              <w:rPr>
                <w:rStyle w:val="Saltoaindice"/>
                <w:rFonts w:cs="Arial" w:ascii="Arial" w:hAnsi="Arial"/>
                <w:sz w:val="18"/>
                <w:szCs w:val="20"/>
              </w:rPr>
              <w:tab/>
              <w:t>40</w:t>
            </w:r>
            <w:r>
              <w:rPr>
                <w:webHidden/>
              </w:rPr>
              <w:fldChar w:fldCharType="end"/>
            </w:r>
          </w:hyperlink>
        </w:p>
        <w:p>
          <w:pPr>
            <w:pStyle w:val="Contents2"/>
            <w:tabs>
              <w:tab w:val="clear" w:pos="708"/>
              <w:tab w:val="right" w:pos="1119" w:leader="dot"/>
              <w:tab w:val="right" w:pos="9868" w:leader="dot"/>
            </w:tabs>
            <w:rPr/>
          </w:pPr>
          <w:hyperlink w:anchor="_Toc178778190">
            <w:r>
              <w:rPr>
                <w:rStyle w:val="Saltoaindice"/>
                <w:rFonts w:cs="Arial" w:ascii="Arial" w:hAnsi="Arial"/>
                <w:sz w:val="18"/>
                <w:szCs w:val="20"/>
              </w:rPr>
              <w:t>9.3.</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_Toc178778190 \h</w:instrText>
            </w:r>
            <w:r>
              <w:rPr>
                <w:webHidden/>
              </w:rPr>
              <w:fldChar w:fldCharType="separate"/>
            </w:r>
            <w:r>
              <w:rPr>
                <w:rStyle w:val="Saltoaindice"/>
                <w:rFonts w:cs="Arial" w:ascii="Arial" w:hAnsi="Arial"/>
                <w:sz w:val="18"/>
                <w:szCs w:val="20"/>
              </w:rPr>
              <w:t>Piani di risanamento acustico delle infrastrutture ferroviarie</w:t>
              <w:tab/>
              <w:t>46</w:t>
            </w:r>
            <w:r>
              <w:rPr>
                <w:webHidden/>
              </w:rPr>
              <w:fldChar w:fldCharType="end"/>
            </w:r>
          </w:hyperlink>
        </w:p>
        <w:p>
          <w:pPr>
            <w:pStyle w:val="Contents2"/>
            <w:tabs>
              <w:tab w:val="clear" w:pos="708"/>
              <w:tab w:val="right" w:pos="1119" w:leader="dot"/>
              <w:tab w:val="right" w:pos="9868" w:leader="dot"/>
            </w:tabs>
            <w:rPr/>
          </w:pPr>
          <w:hyperlink w:anchor="_Toc178778191">
            <w:r>
              <w:rPr>
                <w:rStyle w:val="Saltoaindice"/>
                <w:rFonts w:cs="Arial" w:ascii="Arial" w:hAnsi="Arial"/>
                <w:sz w:val="18"/>
                <w:szCs w:val="20"/>
              </w:rPr>
              <w:t>9.4.</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_Toc178778191 \h</w:instrText>
            </w:r>
            <w:r>
              <w:rPr>
                <w:webHidden/>
              </w:rPr>
              <w:fldChar w:fldCharType="separate"/>
            </w:r>
            <w:r>
              <w:rPr>
                <w:rStyle w:val="Saltoaindice"/>
                <w:rFonts w:cs="Arial" w:ascii="Arial" w:hAnsi="Arial"/>
                <w:sz w:val="18"/>
                <w:szCs w:val="20"/>
              </w:rPr>
              <w:t>Piani di risanamento acustico delle infrastrutture aeroportuali</w:t>
              <w:tab/>
              <w:t>52</w:t>
            </w:r>
            <w:r>
              <w:rPr>
                <w:webHidden/>
              </w:rPr>
              <w:fldChar w:fldCharType="end"/>
            </w:r>
          </w:hyperlink>
        </w:p>
        <w:p>
          <w:pPr>
            <w:pStyle w:val="Contents2"/>
            <w:tabs>
              <w:tab w:val="clear" w:pos="708"/>
              <w:tab w:val="right" w:pos="1119" w:leader="dot"/>
              <w:tab w:val="right" w:pos="9868" w:leader="dot"/>
            </w:tabs>
            <w:rPr/>
          </w:pPr>
          <w:hyperlink w:anchor="_Toc178778192">
            <w:r>
              <w:rPr>
                <w:rStyle w:val="Saltoaindice"/>
                <w:rFonts w:cs="Arial" w:ascii="Arial" w:hAnsi="Arial"/>
                <w:sz w:val="18"/>
                <w:szCs w:val="20"/>
              </w:rPr>
              <w:t>9.5.</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_Toc178778192 \h</w:instrText>
            </w:r>
            <w:r>
              <w:rPr>
                <w:webHidden/>
              </w:rPr>
              <w:fldChar w:fldCharType="separate"/>
            </w:r>
            <w:r>
              <w:rPr>
                <w:rStyle w:val="Saltoaindice"/>
                <w:rFonts w:cs="Arial" w:ascii="Arial" w:hAnsi="Arial"/>
                <w:sz w:val="18"/>
                <w:szCs w:val="20"/>
              </w:rPr>
              <w:t>Piano di risanamento acustico delle infrastrutture portuali</w:t>
              <w:tab/>
              <w:t>60</w:t>
            </w:r>
            <w:r>
              <w:rPr>
                <w:webHidden/>
              </w:rPr>
              <w:fldChar w:fldCharType="end"/>
            </w:r>
          </w:hyperlink>
        </w:p>
        <w:p>
          <w:pPr>
            <w:pStyle w:val="Contents2"/>
            <w:tabs>
              <w:tab w:val="clear" w:pos="708"/>
              <w:tab w:val="right" w:pos="1119" w:leader="dot"/>
              <w:tab w:val="right" w:pos="9868" w:leader="dot"/>
            </w:tabs>
            <w:rPr/>
          </w:pPr>
          <w:hyperlink w:anchor="_Toc178778193">
            <w:r>
              <w:rPr>
                <w:rStyle w:val="Saltoaindice"/>
                <w:rFonts w:cs="Arial" w:ascii="Arial" w:hAnsi="Arial"/>
                <w:sz w:val="18"/>
                <w:szCs w:val="20"/>
              </w:rPr>
              <w:t>9.6.</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_Toc178778193 \h</w:instrText>
            </w:r>
            <w:r>
              <w:rPr>
                <w:webHidden/>
              </w:rPr>
              <w:fldChar w:fldCharType="separate"/>
            </w:r>
            <w:r>
              <w:rPr>
                <w:rStyle w:val="Saltoaindice"/>
                <w:rFonts w:cs="Arial" w:ascii="Arial" w:hAnsi="Arial"/>
                <w:sz w:val="18"/>
                <w:szCs w:val="20"/>
              </w:rPr>
              <w:t>Piani di risanamento acustico delle imprese</w:t>
              <w:tab/>
              <w:t>61</w:t>
            </w:r>
            <w:r>
              <w:rPr>
                <w:webHidden/>
              </w:rPr>
              <w:fldChar w:fldCharType="end"/>
            </w:r>
          </w:hyperlink>
        </w:p>
        <w:p>
          <w:pPr>
            <w:pStyle w:val="Contents2"/>
            <w:tabs>
              <w:tab w:val="clear" w:pos="708"/>
              <w:tab w:val="right" w:pos="9868" w:leader="dot"/>
            </w:tabs>
            <w:rPr/>
          </w:pPr>
          <w:hyperlink w:anchor="_Toc178778194">
            <w:r>
              <w:rPr>
                <w:webHidden/>
              </w:rPr>
              <w:fldChar w:fldCharType="begin"/>
            </w:r>
            <w:r>
              <w:rPr>
                <w:webHidden/>
              </w:rPr>
              <w:instrText xml:space="preserve">PAGEREF _Toc178778194 \h</w:instrText>
            </w:r>
            <w:r>
              <w:rPr>
                <w:webHidden/>
              </w:rPr>
              <w:fldChar w:fldCharType="separate"/>
            </w:r>
            <w:r>
              <w:rPr>
                <w:rStyle w:val="Saltoaindice"/>
                <w:rFonts w:cs="Arial" w:ascii="Arial" w:hAnsi="Arial"/>
                <w:sz w:val="18"/>
                <w:szCs w:val="20"/>
              </w:rPr>
              <w:t>Piani comunali di risanamento acustico</w:t>
              <w:tab/>
              <w:t>64</w:t>
            </w:r>
            <w:r>
              <w:rPr>
                <w:webHidden/>
              </w:rPr>
              <w:fldChar w:fldCharType="end"/>
            </w:r>
          </w:hyperlink>
        </w:p>
        <w:p>
          <w:pPr>
            <w:pStyle w:val="Contents2"/>
            <w:tabs>
              <w:tab w:val="clear" w:pos="708"/>
              <w:tab w:val="right" w:pos="1119" w:leader="dot"/>
              <w:tab w:val="right" w:pos="9868" w:leader="dot"/>
            </w:tabs>
            <w:rPr/>
          </w:pPr>
          <w:hyperlink w:anchor="_Toc178778195">
            <w:r>
              <w:rPr>
                <w:rStyle w:val="Saltoaindice"/>
                <w:rFonts w:cs="Arial" w:ascii="Arial" w:hAnsi="Arial"/>
                <w:sz w:val="18"/>
                <w:szCs w:val="20"/>
              </w:rPr>
              <w:t>9.7.</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_Toc178778195 \h</w:instrText>
            </w:r>
            <w:r>
              <w:rPr>
                <w:webHidden/>
              </w:rPr>
              <w:fldChar w:fldCharType="separate"/>
            </w:r>
            <w:r>
              <w:rPr>
                <w:rStyle w:val="Saltoaindice"/>
                <w:rFonts w:cs="Arial" w:ascii="Arial" w:hAnsi="Arial"/>
                <w:sz w:val="18"/>
                <w:szCs w:val="20"/>
              </w:rPr>
              <w:t>Individuazione delle criticità e delle situazioni da migliorare</w:t>
              <w:tab/>
              <w:t>66</w:t>
            </w:r>
            <w:r>
              <w:rPr>
                <w:webHidden/>
              </w:rPr>
              <w:fldChar w:fldCharType="end"/>
            </w:r>
          </w:hyperlink>
        </w:p>
        <w:p>
          <w:pPr>
            <w:pStyle w:val="Contents2"/>
            <w:tabs>
              <w:tab w:val="clear" w:pos="708"/>
              <w:tab w:val="right" w:pos="1119" w:leader="dot"/>
              <w:tab w:val="right" w:pos="9868" w:leader="dot"/>
            </w:tabs>
            <w:rPr/>
          </w:pPr>
          <w:hyperlink w:anchor="_Toc178778196">
            <w:r>
              <w:rPr>
                <w:rStyle w:val="Saltoaindice"/>
                <w:rFonts w:cs="Arial" w:ascii="Arial" w:hAnsi="Arial"/>
                <w:sz w:val="18"/>
                <w:szCs w:val="20"/>
                <w:lang w:eastAsia="ar-SA"/>
              </w:rPr>
              <w:t>9.8.</w:t>
            </w:r>
            <w:r>
              <w:rPr>
                <w:rStyle w:val="Saltoaindice"/>
                <w:rFonts w:cs="Arial" w:ascii="Arial" w:hAnsi="Arial"/>
                <w:kern w:val="0"/>
                <w:sz w:val="18"/>
                <w:szCs w:val="20"/>
                <w:lang w:eastAsia="it-IT" w:bidi="ar-SA"/>
              </w:rPr>
              <w:tab/>
            </w:r>
            <w:r>
              <w:rPr>
                <w:rStyle w:val="Saltoaindice"/>
                <w:rFonts w:cs="Arial" w:ascii="Arial" w:hAnsi="Arial"/>
                <w:sz w:val="18"/>
                <w:szCs w:val="20"/>
                <w:lang w:eastAsia="ar-SA"/>
              </w:rPr>
              <w:t>Costruzione della mappa dei limiti e individuazione dei superamenti</w:t>
            </w:r>
            <w:r>
              <w:rPr>
                <w:webHidden/>
              </w:rPr>
              <w:fldChar w:fldCharType="begin"/>
            </w:r>
            <w:r>
              <w:rPr>
                <w:webHidden/>
              </w:rPr>
              <w:instrText xml:space="preserve">PAGEREF _Toc178778196 \h</w:instrText>
            </w:r>
            <w:r>
              <w:rPr>
                <w:webHidden/>
              </w:rPr>
              <w:fldChar w:fldCharType="separate"/>
            </w:r>
            <w:r>
              <w:rPr>
                <w:rStyle w:val="Saltoaindice"/>
                <w:rFonts w:cs="Arial" w:ascii="Arial" w:hAnsi="Arial"/>
                <w:sz w:val="18"/>
                <w:szCs w:val="20"/>
              </w:rPr>
              <w:tab/>
              <w:t>67</w:t>
            </w:r>
            <w:r>
              <w:rPr>
                <w:webHidden/>
              </w:rPr>
              <w:fldChar w:fldCharType="end"/>
            </w:r>
          </w:hyperlink>
        </w:p>
        <w:p>
          <w:pPr>
            <w:pStyle w:val="Contents2"/>
            <w:tabs>
              <w:tab w:val="clear" w:pos="708"/>
              <w:tab w:val="right" w:pos="1119" w:leader="dot"/>
              <w:tab w:val="right" w:pos="9868" w:leader="dot"/>
            </w:tabs>
            <w:rPr/>
          </w:pPr>
          <w:hyperlink w:anchor="_Toc178778197">
            <w:r>
              <w:rPr>
                <w:rStyle w:val="Saltoaindice"/>
                <w:rFonts w:cs="Arial" w:ascii="Arial" w:hAnsi="Arial"/>
                <w:sz w:val="18"/>
                <w:szCs w:val="20"/>
                <w:lang w:eastAsia="ar-SA"/>
              </w:rPr>
              <w:t>9.9.</w:t>
            </w:r>
            <w:r>
              <w:rPr>
                <w:rStyle w:val="Saltoaindice"/>
                <w:rFonts w:cs="Arial" w:ascii="Arial" w:hAnsi="Arial"/>
                <w:kern w:val="0"/>
                <w:sz w:val="18"/>
                <w:szCs w:val="20"/>
                <w:lang w:eastAsia="it-IT" w:bidi="ar-SA"/>
              </w:rPr>
              <w:tab/>
            </w:r>
            <w:r>
              <w:rPr>
                <w:rStyle w:val="Saltoaindice"/>
                <w:rFonts w:cs="Arial" w:ascii="Arial" w:hAnsi="Arial"/>
                <w:sz w:val="18"/>
                <w:szCs w:val="20"/>
                <w:lang w:eastAsia="ar-SA"/>
              </w:rPr>
              <w:t>Identificazione dei superamenti</w:t>
            </w:r>
            <w:r>
              <w:rPr>
                <w:webHidden/>
              </w:rPr>
              <w:fldChar w:fldCharType="begin"/>
            </w:r>
            <w:r>
              <w:rPr>
                <w:webHidden/>
              </w:rPr>
              <w:instrText xml:space="preserve">PAGEREF _Toc178778197 \h</w:instrText>
            </w:r>
            <w:r>
              <w:rPr>
                <w:webHidden/>
              </w:rPr>
              <w:fldChar w:fldCharType="separate"/>
            </w:r>
            <w:r>
              <w:rPr>
                <w:rStyle w:val="Saltoaindice"/>
                <w:rFonts w:cs="Arial" w:ascii="Arial" w:hAnsi="Arial"/>
                <w:sz w:val="18"/>
                <w:szCs w:val="20"/>
              </w:rPr>
              <w:tab/>
              <w:t>68</w:t>
            </w:r>
            <w:r>
              <w:rPr>
                <w:webHidden/>
              </w:rPr>
              <w:fldChar w:fldCharType="end"/>
            </w:r>
          </w:hyperlink>
        </w:p>
        <w:p>
          <w:pPr>
            <w:pStyle w:val="Contents2"/>
            <w:tabs>
              <w:tab w:val="clear" w:pos="708"/>
              <w:tab w:val="right" w:pos="1340" w:leader="dot"/>
              <w:tab w:val="right" w:pos="9868" w:leader="dot"/>
            </w:tabs>
            <w:rPr/>
          </w:pPr>
          <w:hyperlink w:anchor="_Toc178778198">
            <w:r>
              <w:rPr>
                <w:rStyle w:val="Saltoaindice"/>
                <w:rFonts w:cs="Arial" w:ascii="Arial" w:hAnsi="Arial"/>
                <w:sz w:val="18"/>
                <w:szCs w:val="20"/>
                <w:lang w:eastAsia="ar-SA"/>
              </w:rPr>
              <w:t>9.10.</w:t>
            </w:r>
            <w:r>
              <w:rPr>
                <w:rStyle w:val="Saltoaindice"/>
                <w:rFonts w:cs="Arial" w:ascii="Arial" w:hAnsi="Arial"/>
                <w:kern w:val="0"/>
                <w:sz w:val="18"/>
                <w:szCs w:val="20"/>
                <w:lang w:eastAsia="it-IT" w:bidi="ar-SA"/>
              </w:rPr>
              <w:tab/>
            </w:r>
            <w:r>
              <w:rPr>
                <w:rStyle w:val="Saltoaindice"/>
                <w:rFonts w:cs="Arial" w:ascii="Arial" w:hAnsi="Arial"/>
                <w:sz w:val="18"/>
                <w:szCs w:val="20"/>
                <w:lang w:eastAsia="ar-SA"/>
              </w:rPr>
              <w:t>Individuazione delle “aree critiche”</w:t>
            </w:r>
            <w:r>
              <w:rPr>
                <w:webHidden/>
              </w:rPr>
              <w:fldChar w:fldCharType="begin"/>
            </w:r>
            <w:r>
              <w:rPr>
                <w:webHidden/>
              </w:rPr>
              <w:instrText xml:space="preserve">PAGEREF _Toc178778198 \h</w:instrText>
            </w:r>
            <w:r>
              <w:rPr>
                <w:webHidden/>
              </w:rPr>
              <w:fldChar w:fldCharType="separate"/>
            </w:r>
            <w:r>
              <w:rPr>
                <w:rStyle w:val="Saltoaindice"/>
                <w:rFonts w:cs="Arial" w:ascii="Arial" w:hAnsi="Arial"/>
                <w:sz w:val="18"/>
                <w:szCs w:val="20"/>
              </w:rPr>
              <w:tab/>
              <w:t>69</w:t>
            </w:r>
            <w:r>
              <w:rPr>
                <w:webHidden/>
              </w:rPr>
              <w:fldChar w:fldCharType="end"/>
            </w:r>
          </w:hyperlink>
        </w:p>
        <w:p>
          <w:pPr>
            <w:pStyle w:val="Contents2"/>
            <w:tabs>
              <w:tab w:val="clear" w:pos="708"/>
              <w:tab w:val="right" w:pos="1340" w:leader="dot"/>
              <w:tab w:val="right" w:pos="9868" w:leader="dot"/>
            </w:tabs>
            <w:rPr/>
          </w:pPr>
          <w:hyperlink w:anchor="_Toc178778199">
            <w:r>
              <w:rPr>
                <w:rStyle w:val="Saltoaindice"/>
                <w:rFonts w:cs="Arial" w:ascii="Arial" w:hAnsi="Arial"/>
                <w:sz w:val="18"/>
                <w:szCs w:val="20"/>
                <w:lang w:eastAsia="ar-SA"/>
              </w:rPr>
              <w:t>9.11.</w:t>
            </w:r>
            <w:r>
              <w:rPr>
                <w:rStyle w:val="Saltoaindice"/>
                <w:rFonts w:cs="Arial" w:ascii="Arial" w:hAnsi="Arial"/>
                <w:kern w:val="0"/>
                <w:sz w:val="18"/>
                <w:szCs w:val="20"/>
                <w:lang w:eastAsia="it-IT" w:bidi="ar-SA"/>
              </w:rPr>
              <w:tab/>
            </w:r>
            <w:r>
              <w:rPr>
                <w:rStyle w:val="Saltoaindice"/>
                <w:rFonts w:cs="Arial" w:ascii="Arial" w:hAnsi="Arial"/>
                <w:sz w:val="18"/>
                <w:szCs w:val="20"/>
                <w:lang w:eastAsia="ar-SA"/>
              </w:rPr>
              <w:t>Calcolo indice di priorità</w:t>
            </w:r>
            <w:r>
              <w:rPr>
                <w:webHidden/>
              </w:rPr>
              <w:fldChar w:fldCharType="begin"/>
            </w:r>
            <w:r>
              <w:rPr>
                <w:webHidden/>
              </w:rPr>
              <w:instrText xml:space="preserve">PAGEREF _Toc178778199 \h</w:instrText>
            </w:r>
            <w:r>
              <w:rPr>
                <w:webHidden/>
              </w:rPr>
              <w:fldChar w:fldCharType="separate"/>
            </w:r>
            <w:r>
              <w:rPr>
                <w:rStyle w:val="Saltoaindice"/>
                <w:rFonts w:cs="Arial" w:ascii="Arial" w:hAnsi="Arial"/>
                <w:sz w:val="18"/>
                <w:szCs w:val="20"/>
              </w:rPr>
              <w:tab/>
              <w:t>70</w:t>
            </w:r>
            <w:r>
              <w:rPr>
                <w:webHidden/>
              </w:rPr>
              <w:fldChar w:fldCharType="end"/>
            </w:r>
          </w:hyperlink>
        </w:p>
        <w:p>
          <w:pPr>
            <w:pStyle w:val="Contents1"/>
            <w:tabs>
              <w:tab w:val="clear" w:pos="708"/>
              <w:tab w:val="right" w:pos="720" w:leader="dot"/>
              <w:tab w:val="right" w:pos="9628" w:leader="dot"/>
            </w:tabs>
            <w:rPr/>
          </w:pPr>
          <w:hyperlink w:anchor="_Toc178778200">
            <w:r>
              <w:rPr>
                <w:rStyle w:val="Saltoaindice"/>
                <w:rFonts w:cs="Arial" w:ascii="Arial" w:hAnsi="Arial"/>
                <w:sz w:val="18"/>
                <w:szCs w:val="20"/>
              </w:rPr>
              <w:t>10.</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_Toc178778200 \h</w:instrText>
            </w:r>
            <w:r>
              <w:rPr>
                <w:webHidden/>
              </w:rPr>
              <w:fldChar w:fldCharType="separate"/>
            </w:r>
            <w:r>
              <w:rPr>
                <w:rStyle w:val="Saltoaindice"/>
                <w:rFonts w:cs="Arial" w:ascii="Arial" w:hAnsi="Arial"/>
                <w:sz w:val="18"/>
                <w:szCs w:val="20"/>
              </w:rPr>
              <w:t>INFORMAZIONI DI CARATTERE FINANZIARIO – Requisito di cui all. 5 D.Lgs. 194/2005 lett.m)</w:t>
              <w:tab/>
              <w:t>81</w:t>
            </w:r>
            <w:r>
              <w:rPr>
                <w:webHidden/>
              </w:rPr>
              <w:fldChar w:fldCharType="end"/>
            </w:r>
          </w:hyperlink>
        </w:p>
        <w:p>
          <w:pPr>
            <w:pStyle w:val="Contents1"/>
            <w:tabs>
              <w:tab w:val="clear" w:pos="708"/>
              <w:tab w:val="right" w:pos="720" w:leader="dot"/>
              <w:tab w:val="right" w:pos="9628" w:leader="dot"/>
            </w:tabs>
            <w:rPr/>
          </w:pPr>
          <w:hyperlink w:anchor="_Toc178778201">
            <w:r>
              <w:rPr>
                <w:rStyle w:val="Saltoaindice"/>
                <w:rFonts w:cs="Arial" w:ascii="Arial" w:hAnsi="Arial"/>
                <w:sz w:val="18"/>
                <w:szCs w:val="20"/>
              </w:rPr>
              <w:t>11.</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_Toc178778201 \h</w:instrText>
            </w:r>
            <w:r>
              <w:rPr>
                <w:webHidden/>
              </w:rPr>
              <w:fldChar w:fldCharType="separate"/>
            </w:r>
            <w:r>
              <w:rPr>
                <w:rStyle w:val="Saltoaindice"/>
                <w:rFonts w:cs="Arial" w:ascii="Arial" w:hAnsi="Arial"/>
                <w:sz w:val="18"/>
                <w:szCs w:val="20"/>
              </w:rPr>
              <w:t>DISPOSIZIONI PER LA VALUTAZIONE DELL’ATTUAZIONE E DEI RISULTATI DEL PIANO D’AZIONE - Requisito di cui all. 5 D.Lgs. 194/2005 lett.n)</w:t>
              <w:tab/>
              <w:t>82</w:t>
            </w:r>
            <w:r>
              <w:rPr>
                <w:webHidden/>
              </w:rPr>
              <w:fldChar w:fldCharType="end"/>
            </w:r>
          </w:hyperlink>
        </w:p>
        <w:p>
          <w:pPr>
            <w:pStyle w:val="Contents1"/>
            <w:tabs>
              <w:tab w:val="clear" w:pos="708"/>
              <w:tab w:val="right" w:pos="720" w:leader="dot"/>
              <w:tab w:val="right" w:pos="9628" w:leader="dot"/>
            </w:tabs>
            <w:rPr/>
          </w:pPr>
          <w:hyperlink w:anchor="_Toc178778202">
            <w:r>
              <w:rPr>
                <w:rStyle w:val="Saltoaindice"/>
                <w:rFonts w:cs="Arial" w:ascii="Arial" w:hAnsi="Arial"/>
                <w:sz w:val="18"/>
                <w:szCs w:val="20"/>
              </w:rPr>
              <w:t>12.</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_Toc178778202 \h</w:instrText>
            </w:r>
            <w:r>
              <w:rPr>
                <w:webHidden/>
              </w:rPr>
              <w:fldChar w:fldCharType="separate"/>
            </w:r>
            <w:r>
              <w:rPr>
                <w:rStyle w:val="Saltoaindice"/>
                <w:rFonts w:cs="Arial" w:ascii="Arial" w:hAnsi="Arial"/>
                <w:sz w:val="18"/>
                <w:szCs w:val="20"/>
              </w:rPr>
              <w:t>NUMERO DI PERSONE ESPOSTE CHE BENEFICIANO DELLA RIDUZIONE DEL RUMORE – Requisito di cui all. 5 D.Lgs. 194/2005 punto 3</w:t>
              <w:tab/>
              <w:t>83</w:t>
            </w:r>
            <w:r>
              <w:rPr>
                <w:webHidden/>
              </w:rPr>
              <w:fldChar w:fldCharType="end"/>
            </w:r>
          </w:hyperlink>
        </w:p>
        <w:p>
          <w:pPr>
            <w:pStyle w:val="Contents1"/>
            <w:tabs>
              <w:tab w:val="clear" w:pos="708"/>
              <w:tab w:val="right" w:pos="720" w:leader="dot"/>
              <w:tab w:val="right" w:pos="9628" w:leader="dot"/>
            </w:tabs>
            <w:rPr/>
          </w:pPr>
          <w:hyperlink w:anchor="_Toc178778203">
            <w:r>
              <w:rPr>
                <w:rStyle w:val="Saltoaindice"/>
                <w:rFonts w:cs="Arial" w:ascii="Arial" w:hAnsi="Arial"/>
                <w:sz w:val="18"/>
                <w:szCs w:val="20"/>
              </w:rPr>
              <w:t>13.</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_Toc178778203 \h</w:instrText>
            </w:r>
            <w:r>
              <w:rPr>
                <w:webHidden/>
              </w:rPr>
              <w:fldChar w:fldCharType="separate"/>
            </w:r>
            <w:r>
              <w:rPr>
                <w:rStyle w:val="Saltoaindice"/>
                <w:rFonts w:cs="Arial" w:ascii="Arial" w:hAnsi="Arial"/>
                <w:sz w:val="18"/>
                <w:szCs w:val="20"/>
              </w:rPr>
              <w:t>Documentazione</w:t>
              <w:tab/>
              <w:t>84</w:t>
            </w:r>
            <w:r>
              <w:rPr>
                <w:webHidden/>
              </w:rPr>
              <w:fldChar w:fldCharType="end"/>
            </w:r>
          </w:hyperlink>
        </w:p>
        <w:p>
          <w:pPr>
            <w:pStyle w:val="Contents1"/>
            <w:tabs>
              <w:tab w:val="clear" w:pos="708"/>
              <w:tab w:val="right" w:pos="720" w:leader="dot"/>
              <w:tab w:val="right" w:pos="9628" w:leader="dot"/>
            </w:tabs>
            <w:rPr/>
          </w:pPr>
          <w:hyperlink w:anchor="_Toc178778204">
            <w:r>
              <w:rPr>
                <w:rStyle w:val="Saltoaindice"/>
                <w:rFonts w:cs="Arial" w:ascii="Arial" w:hAnsi="Arial"/>
                <w:sz w:val="18"/>
                <w:szCs w:val="20"/>
              </w:rPr>
              <w:t>14.</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_Toc178778204 \h</w:instrText>
            </w:r>
            <w:r>
              <w:rPr>
                <w:webHidden/>
              </w:rPr>
              <w:fldChar w:fldCharType="separate"/>
            </w:r>
            <w:r>
              <w:rPr>
                <w:rStyle w:val="Saltoaindice"/>
                <w:rFonts w:cs="Arial" w:ascii="Arial" w:hAnsi="Arial"/>
                <w:sz w:val="18"/>
                <w:szCs w:val="20"/>
              </w:rPr>
              <w:t>ALLEGATI:</w:t>
              <w:tab/>
              <w:t>85</w:t>
            </w:r>
            <w:r>
              <w:rPr>
                <w:webHidden/>
              </w:rPr>
              <w:fldChar w:fldCharType="end"/>
            </w:r>
          </w:hyperlink>
        </w:p>
        <w:p>
          <w:pPr>
            <w:pStyle w:val="Contents1"/>
            <w:tabs>
              <w:tab w:val="clear" w:pos="708"/>
              <w:tab w:val="right" w:pos="720" w:leader="dot"/>
              <w:tab w:val="right" w:pos="9628" w:leader="dot"/>
            </w:tabs>
            <w:rPr/>
          </w:pPr>
          <w:hyperlink w:anchor="_Toc178778205">
            <w:r>
              <w:rPr>
                <w:rStyle w:val="Saltoaindice"/>
                <w:rFonts w:cs="Arial" w:ascii="Arial" w:hAnsi="Arial"/>
                <w:sz w:val="18"/>
                <w:szCs w:val="20"/>
              </w:rPr>
              <w:t>15.</w:t>
            </w:r>
            <w:r>
              <w:rPr>
                <w:rStyle w:val="Saltoaindice"/>
                <w:rFonts w:cs="Arial" w:ascii="Arial" w:hAnsi="Arial"/>
                <w:kern w:val="0"/>
                <w:sz w:val="18"/>
                <w:szCs w:val="20"/>
                <w:lang w:eastAsia="it-IT" w:bidi="ar-SA"/>
              </w:rPr>
              <w:tab/>
            </w:r>
            <w:r>
              <w:rPr>
                <w:webHidden/>
              </w:rPr>
              <w:fldChar w:fldCharType="begin"/>
            </w:r>
            <w:r>
              <w:rPr>
                <w:webHidden/>
              </w:rPr>
              <w:instrText xml:space="preserve">PAGEREF _Toc178778205 \h</w:instrText>
            </w:r>
            <w:r>
              <w:rPr>
                <w:webHidden/>
              </w:rPr>
              <w:fldChar w:fldCharType="separate"/>
            </w:r>
            <w:r>
              <w:rPr>
                <w:rStyle w:val="Saltoaindice"/>
                <w:rFonts w:cs="Arial" w:ascii="Arial" w:hAnsi="Arial"/>
                <w:sz w:val="18"/>
                <w:szCs w:val="20"/>
              </w:rPr>
              <w:t>Riferimenti</w:t>
              <w:tab/>
              <w:t>86</w:t>
            </w:r>
            <w:r>
              <w:rPr>
                <w:webHidden/>
              </w:rPr>
              <w:fldChar w:fldCharType="end"/>
            </w:r>
          </w:hyperlink>
          <w:r>
            <w:rPr>
              <w:rStyle w:val="Saltoaindice"/>
              <w:sz w:val="18"/>
              <w:szCs w:val="20"/>
              <w:rFonts w:cs="Arial" w:ascii="Arial" w:hAnsi="Arial"/>
            </w:rPr>
            <w:fldChar w:fldCharType="end"/>
          </w:r>
        </w:p>
      </w:sdtContent>
    </w:sdt>
    <w:p>
      <w:pPr>
        <w:pStyle w:val="Standard"/>
        <w:tabs>
          <w:tab w:val="clear" w:pos="708"/>
          <w:tab w:val="right" w:pos="9972" w:leader="dot"/>
        </w:tabs>
        <w:rPr>
          <w:b/>
          <w:bCs/>
        </w:rPr>
      </w:pPr>
      <w:r>
        <w:rPr>
          <w:b/>
          <w:bCs/>
        </w:rPr>
      </w:r>
    </w:p>
    <w:p>
      <w:pPr>
        <w:pStyle w:val="Standard"/>
        <w:widowControl w:val="false"/>
        <w:suppressAutoHyphens w:val="true"/>
        <w:bidi w:val="0"/>
        <w:spacing w:before="0" w:after="0"/>
        <w:jc w:val="left"/>
        <w:textAlignment w:val="baseline"/>
        <w:rPr/>
      </w:pPr>
      <w:r>
        <w:rPr/>
      </w:r>
    </w:p>
    <w:p>
      <w:pPr>
        <w:pStyle w:val="Standard"/>
        <w:rPr/>
      </w:pPr>
      <w:r>
        <w:rPr/>
      </w:r>
    </w:p>
    <w:p>
      <w:pPr>
        <w:pStyle w:val="Heading1"/>
        <w:numPr>
          <w:ilvl w:val="0"/>
          <w:numId w:val="161"/>
        </w:numPr>
        <w:spacing w:before="0" w:after="120"/>
        <w:rPr/>
      </w:pPr>
      <w:bookmarkStart w:id="0" w:name="__RefHeading___Toc32795_1780681430"/>
      <w:bookmarkStart w:id="1" w:name="_Toc178778173"/>
      <w:bookmarkEnd w:id="0"/>
      <w:r>
        <w:rPr>
          <w:rFonts w:cs="Arial" w:ascii="Arial" w:hAnsi="Arial"/>
          <w:sz w:val="22"/>
          <w:szCs w:val="22"/>
        </w:rPr>
        <w:t>PREMESSA</w:t>
      </w:r>
      <w:bookmarkEnd w:id="1"/>
    </w:p>
    <w:p>
      <w:pPr>
        <w:pStyle w:val="StandardWW"/>
        <w:spacing w:lineRule="auto" w:line="240"/>
        <w:rPr>
          <w:color w:val="000000"/>
        </w:rPr>
      </w:pPr>
      <w:r>
        <w:rPr>
          <w:color w:val="000000"/>
        </w:rPr>
      </w:r>
    </w:p>
    <w:p>
      <w:pPr>
        <w:pStyle w:val="StandardWW"/>
        <w:spacing w:lineRule="auto" w:line="360" w:before="280" w:after="120"/>
        <w:rPr>
          <w:color w:val="000000"/>
        </w:rPr>
      </w:pPr>
      <w:r>
        <w:rPr>
          <w:color w:val="000000"/>
        </w:rPr>
        <w:t>Il presente documento viene predisposto ai sensi dell’art.4, comma 6 del D.Lgs. 194/2005 che richiede che, a partire dal 18 luglio 2008, l'autorità individuata dalla regione o dalla provincia autonoma competente e le società e gli enti gestori di servizi pubblici di trasporto o delle relative infrastrutture riesaminino e rielaborino i piani di azione di cui ai commi 1 e 3 ogni cinque anni e, comunque, ogni qualvolta necessario e in caso di sviluppi sostanziali che si ripercuotono sulla situazione acustica esistente.</w:t>
      </w:r>
    </w:p>
    <w:p>
      <w:pPr>
        <w:pStyle w:val="StandardWW"/>
        <w:spacing w:lineRule="auto" w:line="360" w:before="280" w:after="120"/>
        <w:rPr/>
      </w:pPr>
      <w:r>
        <w:rPr/>
        <w:t xml:space="preserve">L’allegato 5 al D.Lgs. </w:t>
      </w:r>
      <w:r>
        <w:rPr>
          <w:color w:val="000000"/>
        </w:rPr>
        <w:t>194/2005 prevede che:</w:t>
      </w:r>
    </w:p>
    <w:p>
      <w:pPr>
        <w:pStyle w:val="StandardWW"/>
        <w:numPr>
          <w:ilvl w:val="0"/>
          <w:numId w:val="162"/>
        </w:numPr>
        <w:spacing w:lineRule="auto" w:line="360" w:before="280" w:after="120"/>
        <w:rPr>
          <w:i/>
          <w:i/>
          <w:color w:val="000000"/>
        </w:rPr>
      </w:pPr>
      <w:r>
        <w:rPr>
          <w:i/>
          <w:color w:val="000000"/>
        </w:rPr>
        <w:t>I piani d’azione devono comprendere almeno i seguenti elementi:</w:t>
      </w:r>
    </w:p>
    <w:p>
      <w:pPr>
        <w:pStyle w:val="StandardWW"/>
        <w:numPr>
          <w:ilvl w:val="1"/>
          <w:numId w:val="163"/>
        </w:numPr>
        <w:spacing w:lineRule="auto" w:line="360" w:before="0" w:after="120"/>
        <w:rPr>
          <w:i/>
          <w:i/>
          <w:color w:val="000000"/>
        </w:rPr>
      </w:pPr>
      <w:r>
        <w:rPr>
          <w:i/>
          <w:color w:val="000000"/>
        </w:rPr>
        <w:t>una descrizione dell’Agglomerato, degli assi stradali e ferroviari principali, degli aeroporti principali e delle altre sorgenti di rumore principali da prendere in considerazione;</w:t>
      </w:r>
    </w:p>
    <w:p>
      <w:pPr>
        <w:pStyle w:val="StandardWW"/>
        <w:numPr>
          <w:ilvl w:val="1"/>
          <w:numId w:val="164"/>
        </w:numPr>
        <w:spacing w:lineRule="auto" w:line="360" w:before="0" w:after="120"/>
        <w:rPr/>
      </w:pPr>
      <w:r>
        <w:rPr>
          <w:i/>
          <w:color w:val="000000"/>
        </w:rPr>
        <w:t>l’autorità competente;</w:t>
      </w:r>
    </w:p>
    <w:p>
      <w:pPr>
        <w:pStyle w:val="StandardWW"/>
        <w:numPr>
          <w:ilvl w:val="1"/>
          <w:numId w:val="165"/>
        </w:numPr>
        <w:spacing w:lineRule="auto" w:line="360" w:before="0" w:after="120"/>
        <w:rPr/>
      </w:pPr>
      <w:r>
        <w:rPr>
          <w:i/>
          <w:color w:val="000000"/>
        </w:rPr>
        <w:t>il contesto giuridico;</w:t>
      </w:r>
    </w:p>
    <w:p>
      <w:pPr>
        <w:pStyle w:val="StandardWW"/>
        <w:numPr>
          <w:ilvl w:val="1"/>
          <w:numId w:val="166"/>
        </w:numPr>
        <w:spacing w:lineRule="auto" w:line="360" w:before="0" w:after="120"/>
        <w:rPr/>
      </w:pPr>
      <w:r>
        <w:rPr>
          <w:i/>
          <w:color w:val="000000"/>
        </w:rPr>
        <w:t>qualsiasi valore limite in vigore ai sensi dell’art.5</w:t>
      </w:r>
    </w:p>
    <w:p>
      <w:pPr>
        <w:pStyle w:val="StandardWW"/>
        <w:numPr>
          <w:ilvl w:val="1"/>
          <w:numId w:val="167"/>
        </w:numPr>
        <w:spacing w:lineRule="auto" w:line="360" w:before="0" w:after="120"/>
        <w:rPr/>
      </w:pPr>
      <w:r>
        <w:rPr>
          <w:i/>
          <w:color w:val="000000"/>
        </w:rPr>
        <w:t>una sintesi dei risultati della mappatura acustica;</w:t>
      </w:r>
    </w:p>
    <w:p>
      <w:pPr>
        <w:pStyle w:val="StandardWW"/>
        <w:numPr>
          <w:ilvl w:val="1"/>
          <w:numId w:val="168"/>
        </w:numPr>
        <w:spacing w:lineRule="auto" w:line="360" w:before="0" w:after="120"/>
        <w:rPr/>
      </w:pPr>
      <w:r>
        <w:rPr>
          <w:i/>
        </w:rPr>
        <w:t>una valutazione del numero stimato di persone esposte al rumore, l’individuazione dei problemi e delle situazioni da migliorare;</w:t>
      </w:r>
    </w:p>
    <w:p>
      <w:pPr>
        <w:pStyle w:val="StandardWW"/>
        <w:numPr>
          <w:ilvl w:val="1"/>
          <w:numId w:val="169"/>
        </w:numPr>
        <w:spacing w:lineRule="auto" w:line="360" w:before="0" w:after="120"/>
        <w:rPr/>
      </w:pPr>
      <w:r>
        <w:rPr>
          <w:i/>
        </w:rPr>
        <w:t>un resoconto delle consultazioni pubbliche organizzate ai sensi dell’art.8;</w:t>
      </w:r>
    </w:p>
    <w:p>
      <w:pPr>
        <w:pStyle w:val="StandardWW"/>
        <w:numPr>
          <w:ilvl w:val="1"/>
          <w:numId w:val="170"/>
        </w:numPr>
        <w:spacing w:lineRule="auto" w:line="360" w:before="0" w:after="120"/>
        <w:rPr/>
      </w:pPr>
      <w:r>
        <w:rPr>
          <w:i/>
        </w:rPr>
        <w:t>le misure antirumore già in atto e i progetti in preparazione;</w:t>
      </w:r>
    </w:p>
    <w:p>
      <w:pPr>
        <w:pStyle w:val="StandardWW"/>
        <w:numPr>
          <w:ilvl w:val="1"/>
          <w:numId w:val="171"/>
        </w:numPr>
        <w:spacing w:lineRule="auto" w:line="360" w:before="0" w:after="120"/>
        <w:rPr/>
      </w:pPr>
      <w:r>
        <w:rPr>
          <w:i/>
        </w:rPr>
        <w:t>gli interventi pianificati dalle autorità competenti per i successivi cinque anni, comprese le misure volte alla conservazione delle aree silenziose;</w:t>
      </w:r>
    </w:p>
    <w:p>
      <w:pPr>
        <w:pStyle w:val="StandardWW"/>
        <w:numPr>
          <w:ilvl w:val="1"/>
          <w:numId w:val="172"/>
        </w:numPr>
        <w:spacing w:lineRule="auto" w:line="360" w:before="0" w:after="120"/>
        <w:rPr/>
      </w:pPr>
      <w:r>
        <w:rPr>
          <w:i/>
        </w:rPr>
        <w:t>la strategia di lungo termine;</w:t>
      </w:r>
    </w:p>
    <w:p>
      <w:pPr>
        <w:pStyle w:val="StandardWW"/>
        <w:numPr>
          <w:ilvl w:val="1"/>
          <w:numId w:val="173"/>
        </w:numPr>
        <w:spacing w:lineRule="auto" w:line="360" w:before="0" w:after="120"/>
        <w:rPr/>
      </w:pPr>
      <w:r>
        <w:rPr>
          <w:i/>
        </w:rPr>
        <w:t>le informazioni di carattere finanziario, ove disponibili: fondi stanziati, analisi costi-efficacia e costi–benefici;</w:t>
      </w:r>
    </w:p>
    <w:p>
      <w:pPr>
        <w:pStyle w:val="StandardWW"/>
        <w:numPr>
          <w:ilvl w:val="1"/>
          <w:numId w:val="174"/>
        </w:numPr>
        <w:spacing w:lineRule="auto" w:line="360" w:before="0" w:after="120"/>
        <w:rPr/>
      </w:pPr>
      <w:r>
        <w:rPr>
          <w:i/>
        </w:rPr>
        <w:t>disposizioni per la valutazione dell’attuazione e dei risultati del piano d’azione.</w:t>
      </w:r>
    </w:p>
    <w:p>
      <w:pPr>
        <w:pStyle w:val="StandardWW"/>
        <w:numPr>
          <w:ilvl w:val="0"/>
          <w:numId w:val="175"/>
        </w:numPr>
        <w:spacing w:lineRule="auto" w:line="360" w:before="0" w:after="120"/>
        <w:rPr>
          <w:i/>
          <w:i/>
        </w:rPr>
      </w:pPr>
      <w:r>
        <w:rPr>
          <w:i/>
        </w:rPr>
        <w:t>Gli interventi pianificati dalle autorità nell’ambito delle proprie competenze possono comprendere, ad esempio:</w:t>
      </w:r>
    </w:p>
    <w:p>
      <w:pPr>
        <w:pStyle w:val="StandardWW"/>
        <w:numPr>
          <w:ilvl w:val="1"/>
          <w:numId w:val="176"/>
        </w:numPr>
        <w:spacing w:lineRule="auto" w:line="360" w:before="0" w:after="120"/>
        <w:rPr/>
      </w:pPr>
      <w:r>
        <w:rPr>
          <w:i/>
        </w:rPr>
        <w:t>pianificazione del traffico;</w:t>
      </w:r>
    </w:p>
    <w:p>
      <w:pPr>
        <w:pStyle w:val="StandardWW"/>
        <w:numPr>
          <w:ilvl w:val="1"/>
          <w:numId w:val="177"/>
        </w:numPr>
        <w:spacing w:lineRule="auto" w:line="360" w:before="0" w:after="120"/>
        <w:rPr/>
      </w:pPr>
      <w:r>
        <w:rPr>
          <w:i/>
        </w:rPr>
        <w:t>pianificazione territoriale;</w:t>
      </w:r>
    </w:p>
    <w:p>
      <w:pPr>
        <w:pStyle w:val="StandardWW"/>
        <w:numPr>
          <w:ilvl w:val="1"/>
          <w:numId w:val="178"/>
        </w:numPr>
        <w:spacing w:lineRule="auto" w:line="360" w:before="0" w:after="120"/>
        <w:rPr/>
      </w:pPr>
      <w:r>
        <w:rPr>
          <w:i/>
        </w:rPr>
        <w:t>accorgimenti tecnici a livello delle sorgenti;</w:t>
      </w:r>
    </w:p>
    <w:p>
      <w:pPr>
        <w:pStyle w:val="StandardWW"/>
        <w:numPr>
          <w:ilvl w:val="1"/>
          <w:numId w:val="179"/>
        </w:numPr>
        <w:spacing w:lineRule="auto" w:line="360" w:before="0" w:after="120"/>
        <w:rPr/>
      </w:pPr>
      <w:r>
        <w:rPr>
          <w:i/>
        </w:rPr>
        <w:t>scelta di sorgenti più silenziose;</w:t>
      </w:r>
    </w:p>
    <w:p>
      <w:pPr>
        <w:pStyle w:val="StandardWW"/>
        <w:numPr>
          <w:ilvl w:val="1"/>
          <w:numId w:val="180"/>
        </w:numPr>
        <w:spacing w:lineRule="auto" w:line="360" w:before="0" w:after="120"/>
        <w:rPr/>
      </w:pPr>
      <w:r>
        <w:rPr>
          <w:i/>
        </w:rPr>
        <w:t>riduzione della trasmissione del suono;</w:t>
      </w:r>
    </w:p>
    <w:p>
      <w:pPr>
        <w:pStyle w:val="StandardWW"/>
        <w:numPr>
          <w:ilvl w:val="1"/>
          <w:numId w:val="181"/>
        </w:numPr>
        <w:spacing w:lineRule="auto" w:line="360" w:before="0" w:after="120"/>
        <w:rPr>
          <w:i/>
          <w:i/>
        </w:rPr>
      </w:pPr>
      <w:r>
        <w:rPr>
          <w:i/>
        </w:rPr>
        <w:t>misure di regolamentazione, incentivi o misure economiche.</w:t>
      </w:r>
    </w:p>
    <w:p>
      <w:pPr>
        <w:pStyle w:val="StandardWW"/>
        <w:numPr>
          <w:ilvl w:val="0"/>
          <w:numId w:val="182"/>
        </w:numPr>
        <w:spacing w:lineRule="auto" w:line="360" w:before="0" w:after="120"/>
        <w:rPr>
          <w:i/>
          <w:i/>
        </w:rPr>
      </w:pPr>
      <w:r>
        <w:rPr>
          <w:i/>
        </w:rPr>
        <w:t>I piani d’azione devono comprendere stime in termini di riduzione del numero di persone esposte (fastidio, disturbi del sonno o altro).</w:t>
      </w:r>
    </w:p>
    <w:p>
      <w:pPr>
        <w:pStyle w:val="StandardWW"/>
        <w:numPr>
          <w:ilvl w:val="0"/>
          <w:numId w:val="183"/>
        </w:numPr>
        <w:spacing w:lineRule="auto" w:line="360" w:before="0" w:after="120"/>
        <w:rPr>
          <w:i/>
          <w:i/>
        </w:rPr>
      </w:pPr>
      <w:r>
        <w:rPr>
          <w:i/>
        </w:rPr>
        <w:t>Ai piani d’azione deve essere collegata una sintesi non tecnica di facile consultazione per il pubblico.</w:t>
      </w:r>
    </w:p>
    <w:p>
      <w:pPr>
        <w:pStyle w:val="StandardWW"/>
        <w:numPr>
          <w:ilvl w:val="0"/>
          <w:numId w:val="184"/>
        </w:numPr>
        <w:spacing w:lineRule="auto" w:line="360" w:before="0" w:after="120"/>
        <w:rPr/>
      </w:pPr>
      <w:r>
        <w:rPr/>
        <w:t>Lo sviluppo redazionale dell’elaborato ha seguito le indicazioni contenute nelle linee guida del mese di aprile 2018, predisposte dal Ministero dell'Ambiente e della Sicurezza Energetica [MASE].</w:t>
      </w:r>
    </w:p>
    <w:p>
      <w:pPr>
        <w:pStyle w:val="StandardWW"/>
        <w:spacing w:lineRule="auto" w:line="360" w:before="280" w:after="120"/>
        <w:rPr/>
      </w:pPr>
      <w:r>
        <w:rPr/>
        <w:t>La presente relazione descrive le attività indicate dalla normativa vigente che si attuano attraverso specifici piani di risanamento per ogni tipologia di sorgente di rumore, ovvero:</w:t>
      </w:r>
    </w:p>
    <w:p>
      <w:pPr>
        <w:pStyle w:val="StandardWW"/>
        <w:numPr>
          <w:ilvl w:val="0"/>
          <w:numId w:val="4"/>
        </w:numPr>
        <w:spacing w:lineRule="auto" w:line="360" w:before="280" w:after="120"/>
        <w:rPr/>
      </w:pPr>
      <w:r>
        <w:rPr/>
        <w:t>piani di risanamento acustico delle infrastrutture di trasporto;</w:t>
      </w:r>
    </w:p>
    <w:p>
      <w:pPr>
        <w:pStyle w:val="StandardWW"/>
        <w:numPr>
          <w:ilvl w:val="0"/>
          <w:numId w:val="185"/>
        </w:numPr>
        <w:spacing w:lineRule="auto" w:line="360" w:before="0" w:after="120"/>
        <w:rPr/>
      </w:pPr>
      <w:r>
        <w:rPr/>
        <w:t>piani di risanamento acustico delle imprese;</w:t>
      </w:r>
    </w:p>
    <w:p>
      <w:pPr>
        <w:pStyle w:val="StandardWW"/>
        <w:numPr>
          <w:ilvl w:val="0"/>
          <w:numId w:val="186"/>
        </w:numPr>
        <w:spacing w:lineRule="auto" w:line="360" w:before="0" w:after="120"/>
        <w:rPr/>
      </w:pPr>
      <w:r>
        <w:rPr/>
        <w:t>piani comunali di risanamento acustico.</w:t>
      </w:r>
    </w:p>
    <w:p>
      <w:pPr>
        <w:pStyle w:val="StandardWW"/>
        <w:spacing w:lineRule="auto" w:line="360" w:before="280" w:after="120"/>
        <w:rPr/>
      </w:pPr>
      <w:r>
        <w:rPr/>
      </w:r>
    </w:p>
    <w:p>
      <w:pPr>
        <w:pStyle w:val="StandardWW"/>
        <w:spacing w:lineRule="auto" w:line="360" w:before="280" w:after="120"/>
        <w:rPr/>
      </w:pPr>
      <w:r>
        <w:rPr/>
      </w:r>
    </w:p>
    <w:p>
      <w:pPr>
        <w:pStyle w:val="Heading1"/>
        <w:numPr>
          <w:ilvl w:val="0"/>
          <w:numId w:val="187"/>
        </w:numPr>
        <w:rPr/>
      </w:pPr>
      <w:bookmarkStart w:id="2" w:name="__RefHeading___Toc6596_1402685738"/>
      <w:bookmarkStart w:id="3" w:name="_Toc178778174"/>
      <w:bookmarkEnd w:id="2"/>
      <w:r>
        <w:rPr/>
        <w:t>DESCRIZIONE DELL’AGGLOMERATO, DELLE INFRASTRUTTURE E DELLA ALTRE SORGENTI DA PRENDERE IN CONSIDERAZIONE - Requisito di cui all. 5 D.Lgs. 194/2005 let</w:t>
      </w:r>
      <w:bookmarkEnd w:id="3"/>
      <w:r>
        <w:rPr/>
        <w:t>t.a)</w:t>
      </w:r>
    </w:p>
    <w:p>
      <w:pPr>
        <w:pStyle w:val="StandardWW"/>
        <w:spacing w:lineRule="auto" w:line="240"/>
        <w:rPr>
          <w:rFonts w:eastAsia="Mangal"/>
          <w:lang w:eastAsia="hi-IN"/>
        </w:rPr>
      </w:pPr>
      <w:r>
        <w:rPr>
          <w:rFonts w:eastAsia="Mangal"/>
          <w:lang w:eastAsia="hi-IN"/>
        </w:rPr>
      </w:r>
    </w:p>
    <w:p>
      <w:pPr>
        <w:pStyle w:val="StandardWW"/>
        <w:rPr/>
      </w:pPr>
      <w:r>
        <w:rPr>
          <w:rFonts w:eastAsia="Mangal"/>
          <w:lang w:eastAsia="hi-IN"/>
        </w:rPr>
        <w:t xml:space="preserve">L’Agglomerato di Cagliari, individuato formalmente dalla Regione Sardegna attraverso la D.G.R. 40/24 del 22/07/2008, è costituito dall’insieme dei </w:t>
      </w:r>
      <w:r>
        <w:rPr>
          <w:rFonts w:eastAsia="Mangal"/>
          <w:b/>
          <w:bCs/>
          <w:i/>
          <w:iCs/>
          <w:lang w:eastAsia="hi-IN"/>
        </w:rPr>
        <w:t>centri urbani</w:t>
      </w:r>
      <w:r>
        <w:rPr>
          <w:rFonts w:eastAsia="Mangal"/>
          <w:lang w:eastAsia="hi-IN"/>
        </w:rPr>
        <w:t xml:space="preserve"> dei seguenti Comuni: </w:t>
      </w:r>
      <w:r>
        <w:rPr>
          <w:rFonts w:eastAsia="ArialMT, Arial"/>
          <w:lang w:eastAsia="hi-IN"/>
        </w:rPr>
        <w:t>Cagliari, Elmas, Assemini, Sestu, Selargius, Monserrato, Quartucciu, Quartu Sant'Elena, Settimo San Pietro e Maracalagonis.</w:t>
      </w:r>
    </w:p>
    <w:p>
      <w:pPr>
        <w:pStyle w:val="StandardWW"/>
        <w:rPr/>
      </w:pPr>
      <w:r>
        <w:rPr>
          <w:rFonts w:eastAsia="ArialMT, Arial"/>
          <w:lang w:eastAsia="hi-IN"/>
        </w:rPr>
        <w:t>Il MATTM, al fine di identificare in modo univoco tutta la documentazione digitale da trasmettere secondo gli adempienti e le relative scadenze previsti dal D.Lgs. 194/2005, ha attribuito all'Agglomerato di Cagliari il codice "</w:t>
      </w:r>
      <w:r>
        <w:rPr>
          <w:rFonts w:eastAsia="ArialMT, Arial"/>
          <w:b/>
          <w:bCs/>
          <w:lang w:eastAsia="hi-IN"/>
        </w:rPr>
        <w:t>IT_a_ag00013</w:t>
      </w:r>
      <w:r>
        <w:rPr>
          <w:rFonts w:eastAsia="ArialMT, Arial"/>
          <w:lang w:eastAsia="hi-IN"/>
        </w:rPr>
        <w:t>".</w:t>
      </w:r>
    </w:p>
    <w:p>
      <w:pPr>
        <w:pStyle w:val="StandardWW"/>
        <w:rPr>
          <w:rFonts w:eastAsia="Mangal" w:cs="ArialMT, Arial"/>
          <w:lang w:eastAsia="hi-IN"/>
        </w:rPr>
      </w:pPr>
      <w:r>
        <w:rPr>
          <w:rFonts w:eastAsia="Mangal" w:cs="ArialMT, Arial"/>
          <w:lang w:eastAsia="hi-IN"/>
        </w:rPr>
      </w:r>
    </w:p>
    <w:p>
      <w:pPr>
        <w:pStyle w:val="StandardWW"/>
        <w:rPr/>
      </w:pPr>
      <w:r>
        <w:rPr>
          <w:rFonts w:cs="Helvetica"/>
        </w:rPr>
        <w:t>Il centro urbano (o “centro abitato”) è definito all’art.3 del D.Lgs. 285/1992 e ss.mm.ii (“Nuovo Codice della Strada”) come segue:</w:t>
      </w:r>
      <w:r>
        <w:rPr>
          <w:rFonts w:cs="Helvetica"/>
          <w:i/>
          <w:iCs/>
        </w:rPr>
        <w:t xml:space="preserve"> “</w:t>
      </w:r>
      <w:r>
        <w:rPr>
          <w:i/>
          <w:iCs/>
        </w:rPr>
        <w:t xml:space="preserve">insieme di edifici, delimitato lungo le vie di accesso dagli appositi segnali di inizio e fine. Per insieme di edifici si intende un </w:t>
      </w:r>
      <w:r>
        <w:rPr>
          <w:b/>
          <w:i/>
          <w:iCs/>
          <w:u w:val="single"/>
        </w:rPr>
        <w:t>raggruppamento continuo</w:t>
      </w:r>
      <w:r>
        <w:rPr>
          <w:i/>
          <w:iCs/>
        </w:rPr>
        <w:t>, ancorché intervallato da strade, piazze, giardini o simili, costituito da non meno di venticinque fabbricati e da aree di uso pubblico con accessi veicolari o pedonali sulla strada.”</w:t>
      </w:r>
    </w:p>
    <w:p>
      <w:pPr>
        <w:pStyle w:val="StandardWW"/>
        <w:rPr/>
      </w:pPr>
      <w:r>
        <w:rPr/>
        <w:t>Sulla base di tale definizione l’Agglomerato di Cagliari può essere delimitato come indicato nella seguente rappresentazione.</w:t>
      </w:r>
    </w:p>
    <w:p>
      <w:pPr>
        <w:pStyle w:val="StandardWW"/>
        <w:rPr/>
      </w:pPr>
      <w:r>
        <w:rPr/>
        <w:drawing>
          <wp:inline distT="0" distB="0" distL="0" distR="0">
            <wp:extent cx="6120130" cy="4338320"/>
            <wp:effectExtent l="0" t="0" r="0" b="0"/>
            <wp:docPr id="1" name="Immagine 1"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mappa, testo, atlante&#10;&#10;Descrizione generata automaticamente"/>
                    <pic:cNvPicPr>
                      <a:picLocks noChangeAspect="1" noChangeArrowheads="1"/>
                    </pic:cNvPicPr>
                  </pic:nvPicPr>
                  <pic:blipFill>
                    <a:blip r:embed="rId2"/>
                    <a:stretch>
                      <a:fillRect/>
                    </a:stretch>
                  </pic:blipFill>
                  <pic:spPr bwMode="auto">
                    <a:xfrm>
                      <a:off x="0" y="0"/>
                      <a:ext cx="6120130" cy="4338320"/>
                    </a:xfrm>
                    <a:prstGeom prst="rect">
                      <a:avLst/>
                    </a:prstGeom>
                  </pic:spPr>
                </pic:pic>
              </a:graphicData>
            </a:graphic>
          </wp:inline>
        </w:drawing>
      </w:r>
    </w:p>
    <w:p>
      <w:pPr>
        <w:pStyle w:val="FigureTabelle"/>
        <w:rPr/>
      </w:pPr>
      <w:bookmarkStart w:id="4" w:name="_Toc171964348"/>
      <w:bookmarkStart w:id="5" w:name="_Ref171943329"/>
      <w:r>
        <w:rPr/>
        <w:t>Figura 2.1</w:t>
      </w:r>
      <w:bookmarkEnd w:id="5"/>
      <w:r>
        <w:rPr/>
        <w:t xml:space="preserve">- </w:t>
      </w:r>
      <w:r>
        <w:rPr>
          <w:lang w:eastAsia="hi-IN"/>
        </w:rPr>
        <w:t>Rappresentazione dell’Agglomerato di Cagliari</w:t>
      </w:r>
      <w:bookmarkEnd w:id="4"/>
    </w:p>
    <w:p>
      <w:pPr>
        <w:pStyle w:val="StandardWW"/>
        <w:rPr/>
      </w:pPr>
      <w:r>
        <w:rPr/>
      </w:r>
    </w:p>
    <w:p>
      <w:pPr>
        <w:pStyle w:val="StandardWW"/>
        <w:rPr/>
      </w:pPr>
      <w:r>
        <w:rPr/>
        <w:t>Il territorio dell’Agglomerato si estende per circa 230 km</w:t>
      </w:r>
      <w:r>
        <w:rPr>
          <w:vertAlign w:val="superscript"/>
        </w:rPr>
        <w:t>2</w:t>
      </w:r>
      <w:r>
        <w:rPr/>
        <w:t xml:space="preserve"> e interessa circa 340.000 abitanti, suddivisi nei territori comunali indicati nella seguente tabella.</w:t>
      </w:r>
    </w:p>
    <w:p>
      <w:pPr>
        <w:pStyle w:val="StandardWW"/>
        <w:rPr/>
      </w:pPr>
      <w:r>
        <w:rPr/>
      </w:r>
    </w:p>
    <w:p>
      <w:pPr>
        <w:pStyle w:val="StandardWW"/>
        <w:rPr/>
      </w:pPr>
      <w:r>
        <w:rPr/>
      </w:r>
    </w:p>
    <w:p>
      <w:pPr>
        <w:pStyle w:val="StandardWW"/>
        <w:spacing w:lineRule="auto" w:line="360"/>
        <w:rPr/>
      </w:pPr>
      <w:r>
        <w:rPr/>
        <w:t>Si evidenzia che tale delimitazione dell'Agglomerato così come definito dalla Regione, non rispetta propriamente quanto prescritto dalla direttiva europea 2002/49/CE (densità di popolazione tale da considerarla area urbanizzata) e come recepita dal D.Lgs. n.194/2005, secondo cui l'Agglomerato si definisce come l’insieme di più centri abitati contigui fra loro.</w:t>
      </w:r>
    </w:p>
    <w:p>
      <w:pPr>
        <w:pStyle w:val="StandardWW"/>
        <w:spacing w:lineRule="auto" w:line="360"/>
        <w:rPr/>
      </w:pPr>
      <w:r>
        <w:rPr/>
        <w:t>Il territorio dell’Agglomerato si estende per circa 230 kmq e interessa circa 350.000 abitanti, suddivisi nei territori comunali secondo l'ultimo censimento ISTAT del 2011. Per l'aggiornamento della mappatura verranno utilizzati i vecchi dati ISTAT 2011 in quanto i dati dell'ultimo censimento 2021 non erano ancora disponibili durante la redazione del seguente lavoro.</w:t>
      </w:r>
    </w:p>
    <w:p>
      <w:pPr>
        <w:pStyle w:val="StandardWW"/>
        <w:spacing w:lineRule="auto" w:line="360"/>
        <w:rPr/>
      </w:pPr>
      <w:r>
        <w:rPr/>
        <w:t>Per completezza forniamo il confronto tra i censimenti della popolazione 2011 e 2020 (dati al 31/12/2021 https://www.istat.it/it/archivio/268393, pubblicati il 23 marzo 2022).</w:t>
      </w:r>
    </w:p>
    <w:p>
      <w:pPr>
        <w:pStyle w:val="StandardWW"/>
        <w:spacing w:lineRule="auto" w:line="360"/>
        <w:rPr/>
      </w:pPr>
      <w:r>
        <w:rPr/>
      </w:r>
    </w:p>
    <w:tbl>
      <w:tblPr>
        <w:tblW w:w="8760" w:type="dxa"/>
        <w:jc w:val="left"/>
        <w:tblInd w:w="-12" w:type="dxa"/>
        <w:tblLayout w:type="fixed"/>
        <w:tblCellMar>
          <w:top w:w="0" w:type="dxa"/>
          <w:left w:w="70" w:type="dxa"/>
          <w:bottom w:w="0" w:type="dxa"/>
          <w:right w:w="70" w:type="dxa"/>
        </w:tblCellMar>
        <w:tblLook w:firstRow="0" w:noVBand="0" w:lastRow="0" w:firstColumn="0" w:lastColumn="0" w:noHBand="0" w:val="0000"/>
      </w:tblPr>
      <w:tblGrid>
        <w:gridCol w:w="1920"/>
        <w:gridCol w:w="1259"/>
        <w:gridCol w:w="1279"/>
        <w:gridCol w:w="1243"/>
        <w:gridCol w:w="1477"/>
        <w:gridCol w:w="1581"/>
      </w:tblGrid>
      <w:tr>
        <w:trPr>
          <w:trHeight w:val="870" w:hRule="atLeast"/>
        </w:trPr>
        <w:tc>
          <w:tcPr>
            <w:tcW w:w="19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b/>
                <w:sz w:val="18"/>
                <w:szCs w:val="18"/>
              </w:rPr>
              <w:t>Comune</w:t>
            </w:r>
          </w:p>
        </w:tc>
        <w:tc>
          <w:tcPr>
            <w:tcW w:w="1259" w:type="dxa"/>
            <w:tcBorders>
              <w:top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b/>
                <w:sz w:val="18"/>
                <w:szCs w:val="18"/>
              </w:rPr>
              <w:t>Popolazione Censita 2011</w:t>
            </w:r>
          </w:p>
        </w:tc>
        <w:tc>
          <w:tcPr>
            <w:tcW w:w="1279" w:type="dxa"/>
            <w:tcBorders>
              <w:top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b/>
                <w:sz w:val="18"/>
                <w:szCs w:val="18"/>
              </w:rPr>
              <w:t>Popolazione Censita 2020</w:t>
            </w:r>
          </w:p>
        </w:tc>
        <w:tc>
          <w:tcPr>
            <w:tcW w:w="1243" w:type="dxa"/>
            <w:tcBorders>
              <w:top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b/>
                <w:sz w:val="18"/>
                <w:szCs w:val="18"/>
              </w:rPr>
              <w:t>VARIAZIONE 2011-20</w:t>
            </w:r>
          </w:p>
        </w:tc>
        <w:tc>
          <w:tcPr>
            <w:tcW w:w="1477" w:type="dxa"/>
            <w:tcBorders>
              <w:top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b/>
                <w:sz w:val="18"/>
                <w:szCs w:val="18"/>
              </w:rPr>
              <w:t>VARIAZIONE % 2011-20</w:t>
            </w:r>
          </w:p>
        </w:tc>
        <w:tc>
          <w:tcPr>
            <w:tcW w:w="1581" w:type="dxa"/>
            <w:tcBorders>
              <w:top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b/>
                <w:sz w:val="18"/>
                <w:szCs w:val="18"/>
              </w:rPr>
              <w:t>VARIAZIONE % SUL TOTALE</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Assemini</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25668</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26291</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623</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2,4</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8,7</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Cagliari</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147235</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149572</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2337</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1,6</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32,6</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Elmas</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8298</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9349</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1051</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11,2</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14,7</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Maracalagonis</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7391</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7888</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497</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6,3</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6,9</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Monserrato</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19710</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19175</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-535</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-2,8</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-7,5</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Quartu Sant'Elena</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68786</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68640</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-146</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-0,2</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-2,0</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Quartucciu</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11200</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12864</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1664</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12,9</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23,2</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Selargius</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29301</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28655</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-646</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-2,3</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-9,0</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Sestu</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19272</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20772</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1500</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7,2</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20,9</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Settimo San Pietro</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5949</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6776</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827</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12,2</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11,5</w:t>
            </w:r>
          </w:p>
        </w:tc>
      </w:tr>
      <w:tr>
        <w:trPr>
          <w:trHeight w:val="300" w:hRule="atLeast"/>
        </w:trPr>
        <w:tc>
          <w:tcPr>
            <w:tcW w:w="1920" w:type="dxa"/>
            <w:tcBorders>
              <w:left w:val="single" w:sz="4" w:space="0" w:color="000000"/>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TOTALE</w:t>
            </w:r>
          </w:p>
        </w:tc>
        <w:tc>
          <w:tcPr>
            <w:tcW w:w="125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342810</w:t>
            </w:r>
          </w:p>
        </w:tc>
        <w:tc>
          <w:tcPr>
            <w:tcW w:w="1279"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349982</w:t>
            </w:r>
          </w:p>
        </w:tc>
        <w:tc>
          <w:tcPr>
            <w:tcW w:w="1243"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7172</w:t>
            </w:r>
          </w:p>
        </w:tc>
        <w:tc>
          <w:tcPr>
            <w:tcW w:w="1477"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2,0</w:t>
            </w:r>
          </w:p>
        </w:tc>
        <w:tc>
          <w:tcPr>
            <w:tcW w:w="1581" w:type="dxa"/>
            <w:tcBorders>
              <w:bottom w:val="single" w:sz="4" w:space="0" w:color="000000"/>
              <w:right w:val="single" w:sz="4" w:space="0" w:color="000000"/>
            </w:tcBorders>
            <w:shd w:color="auto" w:fill="auto" w:val="clear"/>
            <w:vAlign w:val="center"/>
          </w:tcPr>
          <w:p>
            <w:pPr>
              <w:pStyle w:val="Standard"/>
              <w:rPr/>
            </w:pPr>
            <w:r>
              <w:rPr>
                <w:rFonts w:cs="Arial" w:ascii="Arial" w:hAnsi="Arial"/>
                <w:sz w:val="18"/>
                <w:szCs w:val="18"/>
              </w:rPr>
              <w:t>100,0</w:t>
            </w:r>
          </w:p>
        </w:tc>
      </w:tr>
    </w:tbl>
    <w:p>
      <w:pPr>
        <w:pStyle w:val="NormaleCorpo"/>
        <w:spacing w:lineRule="auto" w:line="360"/>
        <w:rPr/>
      </w:pPr>
      <w:r>
        <w:rPr>
          <w:rFonts w:cs="Arial" w:ascii="Arial" w:hAnsi="Arial"/>
          <w:sz w:val="20"/>
        </w:rPr>
        <w:t>La popolazione residente nell'Agglomerato di ciascun comune è stata calcolata mediante l'utilizzo delle sezioni censuarie comunali ISTAT censite nel 2021, ricadenti all'interno delle aree facenti parte dell'Agglomerato di Cagliari (vedi rappresentazione) e interpolando i dati per quelle parzialmente ricadenti.</w:t>
      </w:r>
    </w:p>
    <w:p>
      <w:pPr>
        <w:pStyle w:val="NormaleCorpo"/>
        <w:spacing w:lineRule="auto" w:line="360"/>
        <w:rPr/>
      </w:pPr>
      <w:r>
        <w:rPr>
          <w:rFonts w:cs="Arial" w:ascii="Arial" w:hAnsi="Arial"/>
          <w:sz w:val="20"/>
        </w:rPr>
        <w:t>Le città di Cagliari e Quartu S.Elena costituiscono insieme circa il 50 % della superficie complessiva dell’Agglomerato e risiede approssimativamente il 63% della popolazione; i restanti comuni coprono il rimanente 50% del territorio dell'Agglomerato con una popolazione pari al 38% dei residenti dell'Agglomerato.</w:t>
      </w:r>
    </w:p>
    <w:p>
      <w:pPr>
        <w:pStyle w:val="NormaleCorpo"/>
        <w:spacing w:lineRule="auto" w:line="360"/>
        <w:rPr/>
      </w:pPr>
      <w:r>
        <w:rPr>
          <w:rFonts w:cs="Arial" w:ascii="Arial" w:hAnsi="Arial"/>
          <w:sz w:val="20"/>
        </w:rPr>
        <w:t>Le sorgenti sonore da analizzare possono essere sinteticamente descritte come segue:</w:t>
      </w:r>
    </w:p>
    <w:p>
      <w:pPr>
        <w:pStyle w:val="NormaleCorpo"/>
        <w:numPr>
          <w:ilvl w:val="0"/>
          <w:numId w:val="5"/>
        </w:numPr>
        <w:spacing w:before="240" w:after="0"/>
        <w:rPr/>
      </w:pPr>
      <w:r>
        <w:rPr>
          <w:rFonts w:cs="Arial" w:ascii="Arial" w:hAnsi="Arial"/>
          <w:sz w:val="20"/>
        </w:rPr>
        <w:t>~ 1.500 km di infrastrutture stradali;</w:t>
      </w:r>
    </w:p>
    <w:p>
      <w:pPr>
        <w:pStyle w:val="NormaleCorpo"/>
        <w:numPr>
          <w:ilvl w:val="0"/>
          <w:numId w:val="188"/>
        </w:numPr>
        <w:spacing w:before="240" w:after="0"/>
        <w:rPr/>
      </w:pPr>
      <w:r>
        <w:rPr>
          <w:rFonts w:cs="Arial" w:ascii="Arial" w:hAnsi="Arial"/>
          <w:sz w:val="20"/>
        </w:rPr>
        <w:t>~ 30 km di infrastrutture ferroviarie e metrotranviarie;</w:t>
      </w:r>
    </w:p>
    <w:p>
      <w:pPr>
        <w:pStyle w:val="NormaleCorpo"/>
        <w:numPr>
          <w:ilvl w:val="0"/>
          <w:numId w:val="189"/>
        </w:numPr>
        <w:spacing w:before="240" w:after="0"/>
        <w:rPr/>
      </w:pPr>
      <w:r>
        <w:rPr>
          <w:rFonts w:cs="Arial" w:ascii="Arial" w:hAnsi="Arial"/>
          <w:sz w:val="20"/>
        </w:rPr>
        <w:t>l'area industriale di Macchiareddu, 26 zone a destinazione urbanistica “industriale” all'interno delle quali sono ricompresi 11 stabilimenti/attività produttive assoggettate ad autorizzazione integrata ambientale (A.I.A.);</w:t>
      </w:r>
    </w:p>
    <w:p>
      <w:pPr>
        <w:pStyle w:val="NormaleCorpo"/>
        <w:numPr>
          <w:ilvl w:val="0"/>
          <w:numId w:val="190"/>
        </w:numPr>
        <w:spacing w:before="240" w:after="0"/>
        <w:rPr/>
      </w:pPr>
      <w:r>
        <w:rPr>
          <w:rFonts w:cs="Arial" w:ascii="Arial" w:hAnsi="Arial"/>
          <w:sz w:val="20"/>
        </w:rPr>
        <w:t>un porto commerciale e industriale;</w:t>
      </w:r>
    </w:p>
    <w:p>
      <w:pPr>
        <w:pStyle w:val="NormaleCorpo"/>
        <w:numPr>
          <w:ilvl w:val="0"/>
          <w:numId w:val="191"/>
        </w:numPr>
        <w:spacing w:before="240" w:after="0"/>
        <w:rPr/>
      </w:pPr>
      <w:r>
        <w:rPr>
          <w:rFonts w:cs="Arial" w:ascii="Arial" w:hAnsi="Arial"/>
          <w:sz w:val="20"/>
        </w:rPr>
        <w:t>l’aeroporto internazionale di Cagliari-Elmas.</w:t>
      </w:r>
    </w:p>
    <w:p>
      <w:pPr>
        <w:pStyle w:val="Heading1"/>
        <w:numPr>
          <w:ilvl w:val="0"/>
          <w:numId w:val="192"/>
        </w:numPr>
        <w:rPr/>
      </w:pPr>
      <w:bookmarkStart w:id="6" w:name="__RefHeading___Toc6102_3300957195"/>
      <w:bookmarkStart w:id="7" w:name="_Toc178778175"/>
      <w:bookmarkEnd w:id="6"/>
      <w:r>
        <w:rPr/>
        <w:t>AUTORITÀ COMPETENTE - Requisito di cui all. 5 D.Lgs. 194/2005 lett.b)</w:t>
      </w:r>
      <w:bookmarkEnd w:id="7"/>
    </w:p>
    <w:p>
      <w:pPr>
        <w:pStyle w:val="StandardWW"/>
        <w:spacing w:lineRule="auto" w:line="240"/>
        <w:rPr>
          <w:rFonts w:eastAsia="Mangal"/>
          <w:lang w:eastAsia="hi-IN"/>
        </w:rPr>
      </w:pPr>
      <w:r>
        <w:rPr>
          <w:rFonts w:eastAsia="Mangal"/>
          <w:lang w:eastAsia="hi-IN"/>
        </w:rPr>
      </w:r>
    </w:p>
    <w:p>
      <w:pPr>
        <w:pStyle w:val="NormaleCorpo"/>
        <w:spacing w:lineRule="auto" w:line="360"/>
        <w:rPr/>
      </w:pPr>
      <w:r>
        <w:rPr>
          <w:rFonts w:cs="Arial" w:ascii="Arial" w:hAnsi="Arial"/>
          <w:sz w:val="20"/>
          <w:szCs w:val="20"/>
        </w:rPr>
        <w:t>La Regione Autonoma della Sardegna – di seguito RAS - in ottemperanza a quanto disposto dal D.Lgs. 194/2005 “</w:t>
      </w:r>
      <w:r>
        <w:rPr>
          <w:rFonts w:eastAsia="Helvetica-Oblique" w:cs="Arial" w:ascii="Arial" w:hAnsi="Arial"/>
          <w:i/>
          <w:iCs/>
          <w:sz w:val="20"/>
          <w:szCs w:val="20"/>
        </w:rPr>
        <w:t>Attuazione della direttiva 2002/49/CE relativa alla determinazione e alla gestione del rumore ambientale</w:t>
      </w:r>
      <w:r>
        <w:rPr>
          <w:rFonts w:cs="Arial" w:ascii="Arial" w:hAnsi="Arial"/>
          <w:sz w:val="20"/>
          <w:szCs w:val="20"/>
        </w:rPr>
        <w:t>”, ha deliberato in merito all’individuazione dell’Autorità preposta e degli agglomerati con apposita deliberazione di Giunta Regionale 40/24 del 22/07/2008.</w:t>
      </w:r>
    </w:p>
    <w:p>
      <w:pPr>
        <w:pStyle w:val="NormaleCorpo"/>
        <w:spacing w:lineRule="auto" w:line="360"/>
        <w:rPr/>
      </w:pPr>
      <w:r>
        <w:rPr>
          <w:rFonts w:eastAsia="Helvetica, Arial" w:cs="Arial" w:ascii="Arial" w:hAnsi="Arial"/>
          <w:w w:val="95"/>
          <w:sz w:val="20"/>
          <w:szCs w:val="20"/>
        </w:rPr>
        <w:t>Nella succitata deliberazione, la RAS ha individuato</w:t>
      </w:r>
      <w:r>
        <w:rPr>
          <w:rFonts w:cs="Arial" w:ascii="Arial" w:hAnsi="Arial"/>
          <w:w w:val="95"/>
          <w:sz w:val="20"/>
          <w:szCs w:val="20"/>
        </w:rPr>
        <w:t xml:space="preserve"> la ex-Provincia di Cagliari ora Città Metropolitana di Cagliari ai sensi della L.R. 2/2016, quale Autorità preposta alla mappatura acustica ed al piano d’azione ed ha definito come “Agglomerato” il complesso dei centri abitati dei Comuni di Cagliari, Elmas, Assemini, Sestu, Selargius, Monserrato, Quartucciu, Quartu S.Elena, Settimo S.Pietro e Maracalagonis ricadenti nei confini della Città Metropolitana di Cagliari.</w:t>
      </w:r>
    </w:p>
    <w:p>
      <w:pPr>
        <w:pStyle w:val="Heading1"/>
        <w:numPr>
          <w:ilvl w:val="0"/>
          <w:numId w:val="193"/>
        </w:numPr>
        <w:rPr/>
      </w:pPr>
      <w:bookmarkStart w:id="8" w:name="__RefHeading___Toc6104_3300957195"/>
      <w:bookmarkStart w:id="9" w:name="_Toc178778176"/>
      <w:bookmarkEnd w:id="8"/>
      <w:r>
        <w:rPr/>
        <w:t>CONTESTO GIURIDICO - Requisito di cui all. 5 D.Lgs. 194/2005 lett.c)</w:t>
      </w:r>
      <w:bookmarkEnd w:id="9"/>
    </w:p>
    <w:p>
      <w:pPr>
        <w:pStyle w:val="StandardWW"/>
        <w:spacing w:lineRule="auto" w:line="240"/>
        <w:rPr>
          <w:rFonts w:eastAsia="Mangal"/>
          <w:lang w:eastAsia="hi-IN"/>
        </w:rPr>
      </w:pPr>
      <w:r>
        <w:rPr>
          <w:rFonts w:eastAsia="Mangal"/>
          <w:lang w:eastAsia="hi-IN"/>
        </w:rPr>
      </w:r>
    </w:p>
    <w:p>
      <w:pPr>
        <w:pStyle w:val="NormaleCorpo"/>
        <w:spacing w:lineRule="auto" w:line="360"/>
        <w:rPr/>
      </w:pPr>
      <w:r>
        <w:rPr>
          <w:rFonts w:cs="Arial" w:ascii="Arial" w:hAnsi="Arial"/>
          <w:sz w:val="20"/>
          <w:szCs w:val="20"/>
        </w:rPr>
        <w:t>Il piano d'azione oggetto del presente documento, nella accezione del D.Lgs. 194/2005 e s.m.i., deve riportare “gli interventi pianificati dalle autorità nell’ambito delle proprie competenze”.</w:t>
      </w:r>
    </w:p>
    <w:p>
      <w:pPr>
        <w:pStyle w:val="NormaleCorpo"/>
        <w:spacing w:lineRule="auto" w:line="360"/>
        <w:rPr/>
      </w:pPr>
      <w:r>
        <w:rPr>
          <w:rFonts w:cs="Arial" w:ascii="Arial" w:hAnsi="Arial"/>
          <w:sz w:val="20"/>
          <w:szCs w:val="20"/>
        </w:rPr>
        <w:t>Pertanto, l’obbiettivo del piano d’azione, in un contesto quale quello italiano, che dispone di un corpus normativo in ambito acustico assolutamente complesso, è sia l’individuazione delle singole attività di risanamento acustico sia l'individuazione delle competenze relative a ciascuna attività.</w:t>
      </w:r>
    </w:p>
    <w:p>
      <w:pPr>
        <w:pStyle w:val="StandardWW"/>
        <w:spacing w:lineRule="auto" w:line="360"/>
        <w:rPr/>
      </w:pPr>
      <w:r>
        <w:rPr/>
      </w:r>
    </w:p>
    <w:p>
      <w:pPr>
        <w:pStyle w:val="NormaleCorpo"/>
        <w:spacing w:lineRule="auto" w:line="360"/>
        <w:rPr/>
      </w:pPr>
      <w:r>
        <w:rPr>
          <w:rFonts w:cs="Arial" w:ascii="Arial" w:hAnsi="Arial"/>
          <w:sz w:val="20"/>
          <w:szCs w:val="20"/>
        </w:rPr>
        <w:t xml:space="preserve">Il presente documento assume quindi la veste di </w:t>
      </w:r>
      <w:r>
        <w:rPr>
          <w:rFonts w:cs="Arial" w:ascii="Arial" w:hAnsi="Arial"/>
          <w:b/>
          <w:sz w:val="20"/>
          <w:szCs w:val="20"/>
          <w:u w:val="single"/>
        </w:rPr>
        <w:t>piano d’azione strategico</w:t>
      </w:r>
      <w:r>
        <w:rPr>
          <w:rFonts w:cs="Arial" w:ascii="Arial" w:hAnsi="Arial"/>
          <w:sz w:val="20"/>
          <w:szCs w:val="20"/>
        </w:rPr>
        <w:t xml:space="preserve"> nell'accezione della norma </w:t>
      </w:r>
      <w:r>
        <w:rPr>
          <w:rFonts w:cs="Arial" w:ascii="Arial" w:hAnsi="Arial"/>
          <w:b/>
          <w:sz w:val="20"/>
          <w:szCs w:val="20"/>
        </w:rPr>
        <w:t>UNI 11327:2009</w:t>
      </w:r>
      <w:r>
        <w:rPr>
          <w:rFonts w:cs="Arial" w:ascii="Arial" w:hAnsi="Arial"/>
          <w:sz w:val="20"/>
          <w:szCs w:val="20"/>
        </w:rPr>
        <w:t>, che lo definisce nel modo seguente:</w:t>
      </w:r>
    </w:p>
    <w:p>
      <w:pPr>
        <w:pStyle w:val="NormaleCorpo"/>
        <w:spacing w:lineRule="auto" w:line="360"/>
        <w:rPr/>
      </w:pPr>
      <w:r>
        <w:rPr>
          <w:rFonts w:eastAsia="ArialMT, Arial" w:cs="Arial" w:ascii="Arial" w:hAnsi="Arial"/>
          <w:i/>
          <w:sz w:val="20"/>
          <w:szCs w:val="20"/>
        </w:rPr>
        <w:t>“</w:t>
      </w:r>
      <w:r>
        <w:rPr>
          <w:rFonts w:cs="Arial" w:ascii="Arial" w:hAnsi="Arial"/>
          <w:i/>
          <w:sz w:val="20"/>
          <w:szCs w:val="20"/>
        </w:rPr>
        <w:t>strumento volto ad impostare le scelte strategiche relative alle tipologie di soluzioni da adottare, a dare una prima sommaria definizione delle priorità di intervento e dei relativi impegni di spesa così da poter orientare la progettazione degli interventi. Si distingue dal “piano d'azione progettuale” perché non contiene un progetto dei singoli interventi e rinvia al termine della loro stesura una verifica più precisa delle priorità di intervento e delle compatibilità con le risorse economiche disponibili.”</w:t>
      </w:r>
    </w:p>
    <w:p>
      <w:pPr>
        <w:pStyle w:val="NormaleCorpo"/>
        <w:spacing w:lineRule="auto" w:line="360"/>
        <w:rPr/>
      </w:pPr>
      <w:r>
        <w:rPr>
          <w:rFonts w:cs="Arial" w:ascii="Arial" w:hAnsi="Arial"/>
          <w:sz w:val="20"/>
          <w:szCs w:val="20"/>
        </w:rPr>
        <w:t xml:space="preserve">Piano strategico in quanto le competenze progettuali puntuali (per le maggiori criticità acustiche rilevate dalle mappe acustiche strategiche) e le correlate risorse finanziare sono attribuite ad autorità che nel corpus normativo italiano non coincidono con la </w:t>
      </w:r>
      <w:r>
        <w:rPr>
          <w:rFonts w:cs="Arial" w:ascii="Arial" w:hAnsi="Arial"/>
          <w:b/>
          <w:bCs/>
          <w:sz w:val="20"/>
          <w:szCs w:val="20"/>
        </w:rPr>
        <w:t>Città Metropolitana</w:t>
      </w:r>
      <w:r>
        <w:rPr>
          <w:rFonts w:cs="Arial" w:ascii="Arial" w:hAnsi="Arial"/>
          <w:sz w:val="20"/>
          <w:szCs w:val="20"/>
        </w:rPr>
        <w:t xml:space="preserve">, che può assumere però un </w:t>
      </w:r>
      <w:r>
        <w:rPr>
          <w:rFonts w:cs="Arial" w:ascii="Arial" w:hAnsi="Arial"/>
          <w:b/>
          <w:bCs/>
          <w:sz w:val="20"/>
          <w:szCs w:val="20"/>
        </w:rPr>
        <w:t>ruolo di coordinamento delle strategie</w:t>
      </w:r>
      <w:r>
        <w:rPr>
          <w:rFonts w:cs="Arial" w:ascii="Arial" w:hAnsi="Arial"/>
          <w:sz w:val="20"/>
          <w:szCs w:val="20"/>
        </w:rPr>
        <w:t>.</w:t>
      </w:r>
    </w:p>
    <w:p>
      <w:pPr>
        <w:pStyle w:val="NormaleCorpo"/>
        <w:spacing w:lineRule="auto" w:line="360"/>
        <w:rPr>
          <w:rFonts w:ascii="Arial" w:hAnsi="Arial" w:cs="Arial"/>
          <w:sz w:val="20"/>
          <w:szCs w:val="20"/>
        </w:rPr>
      </w:pPr>
      <w:r>
        <w:rPr>
          <w:rFonts w:cs="Arial" w:ascii="Arial" w:hAnsi="Arial"/>
          <w:sz w:val="20"/>
          <w:szCs w:val="20"/>
        </w:rPr>
      </w:r>
    </w:p>
    <w:p>
      <w:pPr>
        <w:pStyle w:val="NormaleCorpo"/>
        <w:spacing w:lineRule="auto" w:line="360"/>
        <w:rPr/>
      </w:pPr>
      <w:r>
        <w:rPr>
          <w:rFonts w:cs="Arial" w:ascii="Arial" w:hAnsi="Arial"/>
          <w:sz w:val="20"/>
          <w:szCs w:val="20"/>
        </w:rPr>
        <w:t>Il piano strategico individua prevalentemente le linee di indirizzo secondo cui deve essere attuato il risanamento acustico, definendo i criteri generali per la pianificazione e la progettazione degli interventi, le modalità di ricerca dei finanziamenti, i ruoli e le responsabilità dei differenti soggetti coinvolti. Gli interventi pianificati nell’ambito di un piano strategico comprendono prevalentemente il dispiegamento di politiche e atti di pianificazione i cui effetti si producono nel tempo in maniera meno deterministica di quanto accada nel caso dei progetti di opere da realizzare. Tuttavia, la natura del piano richiede che anche tali interventi siano descritti nella concretezza delle azioni previste e sia data una stima, quanto più possibile quantitativa, degli effetti attesi in termini di esposizione della popolazione al rumore.</w:t>
      </w:r>
    </w:p>
    <w:p>
      <w:pPr>
        <w:pStyle w:val="StandardWW"/>
        <w:spacing w:lineRule="auto" w:line="360"/>
        <w:rPr/>
      </w:pPr>
      <w:r>
        <w:rPr/>
      </w:r>
    </w:p>
    <w:p>
      <w:pPr>
        <w:pStyle w:val="NormaleCorpo"/>
        <w:spacing w:lineRule="auto" w:line="360"/>
        <w:rPr/>
      </w:pPr>
      <w:r>
        <w:rPr>
          <w:rFonts w:cs="Arial" w:ascii="Arial" w:hAnsi="Arial"/>
          <w:sz w:val="20"/>
          <w:szCs w:val="20"/>
        </w:rPr>
        <w:t xml:space="preserve">Nella seguente </w:t>
      </w:r>
      <w:r>
        <w:rPr>
          <w:rFonts w:cs="Arial" w:ascii="Arial" w:hAnsi="Arial"/>
          <w:sz w:val="20"/>
          <w:szCs w:val="20"/>
        </w:rPr>
        <w:fldChar w:fldCharType="begin"/>
      </w:r>
      <w:r>
        <w:rPr>
          <w:sz w:val="20"/>
          <w:szCs w:val="20"/>
          <w:rFonts w:cs="Arial" w:ascii="Arial" w:hAnsi="Arial"/>
        </w:rPr>
        <w:instrText xml:space="preserve"> REF _Ref171945613 \h </w:instrText>
      </w:r>
      <w:r>
        <w:rPr>
          <w:sz w:val="20"/>
          <w:szCs w:val="20"/>
          <w:rFonts w:cs="Arial" w:ascii="Arial" w:hAnsi="Arial"/>
        </w:rPr>
        <w:fldChar w:fldCharType="separate"/>
      </w:r>
      <w:r>
        <w:rPr>
          <w:sz w:val="20"/>
          <w:szCs w:val="20"/>
          <w:rFonts w:cs="Arial" w:ascii="Arial" w:hAnsi="Arial"/>
        </w:rPr>
        <w:t>Tabella 4.1</w:t>
      </w:r>
      <w:r>
        <w:rPr>
          <w:sz w:val="20"/>
          <w:szCs w:val="20"/>
          <w:rFonts w:cs="Arial" w:ascii="Arial" w:hAnsi="Arial"/>
        </w:rPr>
        <w:fldChar w:fldCharType="end"/>
      </w:r>
      <w:r>
        <w:rPr>
          <w:rFonts w:cs="Arial" w:ascii="Arial" w:hAnsi="Arial"/>
          <w:sz w:val="20"/>
          <w:szCs w:val="20"/>
        </w:rPr>
        <w:t xml:space="preserve"> vengono individuati, per ciascuna tipologia di sorgente di inquinamento acustico, gli ambiti di competenza ed il contesto giuridico.</w:t>
      </w:r>
    </w:p>
    <w:p>
      <w:pPr>
        <w:pStyle w:val="NormaleCorpo"/>
        <w:rPr/>
      </w:pPr>
      <w:r>
        <w:rPr/>
      </w:r>
    </w:p>
    <w:p>
      <w:pPr>
        <w:pStyle w:val="FigureTabelle"/>
        <w:rPr/>
      </w:pPr>
      <w:bookmarkStart w:id="10" w:name="_Toc171964379"/>
      <w:bookmarkStart w:id="11" w:name="_Ref171945613"/>
      <w:r>
        <w:rPr/>
        <w:t>Tabella 4.1</w:t>
      </w:r>
      <w:bookmarkEnd w:id="11"/>
      <w:r>
        <w:rPr/>
        <w:t xml:space="preserve"> - Tipologia di sorgente ed ambiti di competenza – Contesto giuridico</w:t>
      </w:r>
      <w:bookmarkEnd w:id="10"/>
    </w:p>
    <w:tbl>
      <w:tblPr>
        <w:tblW w:w="9643" w:type="dxa"/>
        <w:jc w:val="left"/>
        <w:tblInd w:w="-3" w:type="dxa"/>
        <w:tblLayout w:type="fixed"/>
        <w:tblCellMar>
          <w:top w:w="0" w:type="dxa"/>
          <w:left w:w="2" w:type="dxa"/>
          <w:bottom w:w="0" w:type="dxa"/>
          <w:right w:w="0" w:type="dxa"/>
        </w:tblCellMar>
        <w:tblLook w:firstRow="0" w:noVBand="0" w:lastRow="0" w:firstColumn="0" w:lastColumn="0" w:noHBand="0" w:val="0000"/>
      </w:tblPr>
      <w:tblGrid>
        <w:gridCol w:w="2277"/>
        <w:gridCol w:w="2740"/>
        <w:gridCol w:w="2166"/>
        <w:gridCol w:w="2459"/>
      </w:tblGrid>
      <w:tr>
        <w:trPr>
          <w:tblHeader w:val="true"/>
          <w:cantSplit w:val="true"/>
        </w:trPr>
        <w:tc>
          <w:tcPr>
            <w:tcW w:w="2277"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b/>
                <w:bCs/>
                <w:sz w:val="18"/>
                <w:szCs w:val="18"/>
              </w:rPr>
              <w:t>Attività</w:t>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b/>
                <w:bCs/>
                <w:sz w:val="18"/>
                <w:szCs w:val="18"/>
                <w:lang w:eastAsia="hi-IN"/>
              </w:rPr>
              <w:t>Ambito di competenza</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b/>
                <w:bCs/>
                <w:sz w:val="18"/>
                <w:szCs w:val="18"/>
                <w:lang w:eastAsia="hi-IN"/>
              </w:rPr>
              <w:t>Ente competente</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b/>
                <w:bCs/>
                <w:sz w:val="18"/>
                <w:szCs w:val="18"/>
                <w:lang w:eastAsia="hi-IN"/>
              </w:rPr>
              <w:t>Norma di riferimento</w:t>
            </w:r>
          </w:p>
        </w:tc>
      </w:tr>
      <w:tr>
        <w:trPr>
          <w:cantSplit w:val="true"/>
        </w:trPr>
        <w:tc>
          <w:tcPr>
            <w:tcW w:w="2277" w:type="dxa"/>
            <w:vMerge w:val="restart"/>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 xml:space="preserve">Risanamento acustico delle </w:t>
            </w:r>
            <w:r>
              <w:rPr>
                <w:rFonts w:eastAsia="Mangal"/>
                <w:b/>
                <w:bCs/>
                <w:sz w:val="18"/>
                <w:szCs w:val="18"/>
                <w:u w:val="single"/>
                <w:lang w:eastAsia="hi-IN"/>
              </w:rPr>
              <w:t>infrastrutture stradali</w:t>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Strade provinciali ricadenti nell’Agglomerato di Cagliari</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Città Metropolitana di Cagliari</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sz w:val="18"/>
                <w:szCs w:val="18"/>
                <w:lang w:eastAsia="hi-IN"/>
              </w:rPr>
              <w:t>D.M. 29/11/2000</w:t>
            </w:r>
          </w:p>
          <w:p>
            <w:pPr>
              <w:pStyle w:val="StandardWW"/>
              <w:spacing w:lineRule="auto" w:line="240"/>
              <w:jc w:val="left"/>
              <w:rPr/>
            </w:pPr>
            <w:r>
              <w:rPr>
                <w:rFonts w:eastAsia="Mangal"/>
                <w:sz w:val="18"/>
                <w:szCs w:val="18"/>
                <w:lang w:eastAsia="hi-IN"/>
              </w:rPr>
              <w:t>D.P.R. 142/2004</w:t>
            </w:r>
          </w:p>
        </w:tc>
      </w:tr>
      <w:tr>
        <w:trPr>
          <w:cantSplit w:val="true"/>
        </w:trPr>
        <w:tc>
          <w:tcPr>
            <w:tcW w:w="2277" w:type="dxa"/>
            <w:vMerge w:val="continue"/>
            <w:tcBorders>
              <w:top w:val="single" w:sz="2" w:space="0" w:color="000000"/>
              <w:left w:val="single" w:sz="2" w:space="0" w:color="000000"/>
              <w:bottom w:val="single" w:sz="4" w:space="0" w:color="000000"/>
            </w:tcBorders>
            <w:vAlign w:val="center"/>
          </w:tcPr>
          <w:p>
            <w:pPr>
              <w:pStyle w:val="Normal"/>
              <w:rPr/>
            </w:pPr>
            <w:r>
              <w:rPr/>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Strade comunali ricadenti nell’Agglomerato di Cagliari</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Comuni di Assemini, Cagliari, Elmas, Maracalagonis, Monserrato,Quartu S.Elena, Quartucciu, Selargius, Sestu, Settimo S.Pietro</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sz w:val="18"/>
                <w:szCs w:val="18"/>
                <w:lang w:eastAsia="hi-IN"/>
              </w:rPr>
              <w:t>D.M. 29/11/2000</w:t>
            </w:r>
          </w:p>
          <w:p>
            <w:pPr>
              <w:pStyle w:val="StandardWW"/>
              <w:spacing w:lineRule="auto" w:line="240"/>
              <w:jc w:val="left"/>
              <w:rPr/>
            </w:pPr>
            <w:r>
              <w:rPr>
                <w:rFonts w:eastAsia="Mangal"/>
                <w:sz w:val="18"/>
                <w:szCs w:val="18"/>
                <w:lang w:eastAsia="hi-IN"/>
              </w:rPr>
              <w:t>D.P.R. 142/2004</w:t>
            </w:r>
          </w:p>
        </w:tc>
      </w:tr>
      <w:tr>
        <w:trPr>
          <w:cantSplit w:val="true"/>
        </w:trPr>
        <w:tc>
          <w:tcPr>
            <w:tcW w:w="2277" w:type="dxa"/>
            <w:vMerge w:val="continue"/>
            <w:tcBorders>
              <w:top w:val="single" w:sz="2" w:space="0" w:color="000000"/>
              <w:left w:val="single" w:sz="2" w:space="0" w:color="000000"/>
              <w:bottom w:val="single" w:sz="4" w:space="0" w:color="000000"/>
            </w:tcBorders>
            <w:vAlign w:val="center"/>
          </w:tcPr>
          <w:p>
            <w:pPr>
              <w:pStyle w:val="Normal"/>
              <w:rPr/>
            </w:pPr>
            <w:r>
              <w:rPr/>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Trasporto Pubblico Locale su strada (TPL) nell’ambito dell’Agglomerato di Cagliari</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CTM</w:t>
            </w:r>
          </w:p>
          <w:p>
            <w:pPr>
              <w:pStyle w:val="StandardWW"/>
              <w:spacing w:lineRule="auto" w:line="240"/>
              <w:jc w:val="left"/>
              <w:rPr/>
            </w:pPr>
            <w:r>
              <w:rPr>
                <w:rFonts w:eastAsia="Mangal"/>
                <w:sz w:val="18"/>
                <w:szCs w:val="18"/>
                <w:lang w:eastAsia="hi-IN"/>
              </w:rPr>
              <w:t>ARST</w:t>
            </w:r>
          </w:p>
          <w:p>
            <w:pPr>
              <w:pStyle w:val="StandardWW"/>
              <w:spacing w:lineRule="auto" w:line="240"/>
              <w:jc w:val="left"/>
              <w:rPr/>
            </w:pPr>
            <w:r>
              <w:rPr>
                <w:rFonts w:eastAsia="Mangal"/>
                <w:sz w:val="18"/>
                <w:szCs w:val="18"/>
                <w:lang w:eastAsia="hi-IN"/>
              </w:rPr>
              <w:t>(Enti gestori di servizio di trasporto pubblico locale)</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sz w:val="18"/>
                <w:szCs w:val="18"/>
                <w:lang w:eastAsia="hi-IN"/>
              </w:rPr>
              <w:t>D.M. 29/11/2000</w:t>
            </w:r>
          </w:p>
          <w:p>
            <w:pPr>
              <w:pStyle w:val="StandardWW"/>
              <w:spacing w:lineRule="auto" w:line="240"/>
              <w:jc w:val="left"/>
              <w:rPr/>
            </w:pPr>
            <w:r>
              <w:rPr>
                <w:rFonts w:eastAsia="Mangal"/>
                <w:sz w:val="18"/>
                <w:szCs w:val="18"/>
                <w:lang w:eastAsia="hi-IN"/>
              </w:rPr>
              <w:t>D.P.R. 142/2004</w:t>
            </w:r>
          </w:p>
        </w:tc>
      </w:tr>
      <w:tr>
        <w:trPr>
          <w:cantSplit w:val="true"/>
        </w:trPr>
        <w:tc>
          <w:tcPr>
            <w:tcW w:w="2277" w:type="dxa"/>
            <w:vMerge w:val="continue"/>
            <w:tcBorders>
              <w:top w:val="single" w:sz="2" w:space="0" w:color="000000"/>
              <w:left w:val="single" w:sz="2" w:space="0" w:color="000000"/>
              <w:bottom w:val="single" w:sz="4" w:space="0" w:color="000000"/>
            </w:tcBorders>
            <w:vAlign w:val="center"/>
          </w:tcPr>
          <w:p>
            <w:pPr>
              <w:pStyle w:val="Normal"/>
              <w:rPr/>
            </w:pPr>
            <w:r>
              <w:rPr/>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Strade statali ricadenti nell’Agglomerato di Cagliari</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ANAS</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sz w:val="18"/>
                <w:szCs w:val="18"/>
                <w:lang w:eastAsia="hi-IN"/>
              </w:rPr>
              <w:t>D.M. 29/11/2000</w:t>
            </w:r>
          </w:p>
          <w:p>
            <w:pPr>
              <w:pStyle w:val="StandardWW"/>
              <w:spacing w:lineRule="auto" w:line="240"/>
              <w:jc w:val="left"/>
              <w:rPr/>
            </w:pPr>
            <w:r>
              <w:rPr>
                <w:rFonts w:eastAsia="Mangal"/>
                <w:sz w:val="18"/>
                <w:szCs w:val="18"/>
                <w:lang w:eastAsia="hi-IN"/>
              </w:rPr>
              <w:t>D.P.R. 142/2004</w:t>
            </w:r>
          </w:p>
        </w:tc>
      </w:tr>
      <w:tr>
        <w:trPr>
          <w:cantSplit w:val="true"/>
        </w:trPr>
        <w:tc>
          <w:tcPr>
            <w:tcW w:w="2277" w:type="dxa"/>
            <w:vMerge w:val="continue"/>
            <w:tcBorders>
              <w:top w:val="single" w:sz="2" w:space="0" w:color="000000"/>
              <w:left w:val="single" w:sz="2" w:space="0" w:color="000000"/>
              <w:bottom w:val="single" w:sz="4" w:space="0" w:color="000000"/>
            </w:tcBorders>
            <w:vAlign w:val="center"/>
          </w:tcPr>
          <w:p>
            <w:pPr>
              <w:pStyle w:val="Normal"/>
              <w:rPr/>
            </w:pPr>
            <w:r>
              <w:rPr/>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Autostrade</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Non presenti</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sz w:val="18"/>
                <w:szCs w:val="18"/>
                <w:lang w:eastAsia="hi-IN"/>
              </w:rPr>
              <w:t>D.M. 29/11/2000</w:t>
            </w:r>
          </w:p>
          <w:p>
            <w:pPr>
              <w:pStyle w:val="StandardWW"/>
              <w:spacing w:lineRule="auto" w:line="240"/>
              <w:jc w:val="left"/>
              <w:rPr/>
            </w:pPr>
            <w:r>
              <w:rPr>
                <w:rFonts w:eastAsia="Mangal"/>
                <w:sz w:val="18"/>
                <w:szCs w:val="18"/>
                <w:lang w:eastAsia="hi-IN"/>
              </w:rPr>
              <w:t>D.P.R. 142/2004</w:t>
            </w:r>
          </w:p>
        </w:tc>
      </w:tr>
      <w:tr>
        <w:trPr>
          <w:cantSplit w:val="true"/>
        </w:trPr>
        <w:tc>
          <w:tcPr>
            <w:tcW w:w="2277"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 xml:space="preserve">Risanamento acustico delle </w:t>
            </w:r>
            <w:r>
              <w:rPr>
                <w:rFonts w:eastAsia="Mangal"/>
                <w:b/>
                <w:bCs/>
                <w:sz w:val="18"/>
                <w:szCs w:val="18"/>
                <w:u w:val="single"/>
                <w:lang w:eastAsia="hi-IN"/>
              </w:rPr>
              <w:t>infrastrutture ferroviarie</w:t>
            </w:r>
          </w:p>
        </w:tc>
        <w:tc>
          <w:tcPr>
            <w:tcW w:w="2740"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Ferrovie ricadenti nell’Agglomerato di Cagliari</w:t>
            </w:r>
          </w:p>
        </w:tc>
        <w:tc>
          <w:tcPr>
            <w:tcW w:w="2166" w:type="dxa"/>
            <w:tcBorders>
              <w:top w:val="single" w:sz="2" w:space="0" w:color="000000"/>
              <w:left w:val="single" w:sz="2" w:space="0" w:color="000000"/>
              <w:bottom w:val="single" w:sz="4" w:space="0" w:color="000000"/>
            </w:tcBorders>
            <w:vAlign w:val="center"/>
          </w:tcPr>
          <w:p>
            <w:pPr>
              <w:pStyle w:val="StandardWW"/>
              <w:spacing w:lineRule="auto" w:line="240"/>
              <w:jc w:val="left"/>
              <w:rPr/>
            </w:pPr>
            <w:r>
              <w:rPr>
                <w:rFonts w:eastAsia="Mangal"/>
                <w:sz w:val="18"/>
                <w:szCs w:val="18"/>
                <w:lang w:eastAsia="hi-IN"/>
              </w:rPr>
              <w:t>RFI</w:t>
            </w:r>
          </w:p>
        </w:tc>
        <w:tc>
          <w:tcPr>
            <w:tcW w:w="2459" w:type="dxa"/>
            <w:tcBorders>
              <w:top w:val="single" w:sz="2" w:space="0" w:color="000000"/>
              <w:left w:val="single" w:sz="2" w:space="0" w:color="000000"/>
              <w:bottom w:val="single" w:sz="2" w:space="0" w:color="000000"/>
              <w:right w:val="single" w:sz="4" w:space="0" w:color="000000"/>
            </w:tcBorders>
            <w:vAlign w:val="center"/>
          </w:tcPr>
          <w:p>
            <w:pPr>
              <w:pStyle w:val="StandardWW"/>
              <w:spacing w:lineRule="auto" w:line="240"/>
              <w:jc w:val="left"/>
              <w:rPr/>
            </w:pPr>
            <w:r>
              <w:rPr>
                <w:rFonts w:eastAsia="Mangal"/>
                <w:sz w:val="18"/>
                <w:szCs w:val="18"/>
                <w:lang w:eastAsia="hi-IN"/>
              </w:rPr>
              <w:t>D.M. 29/11/2000</w:t>
            </w:r>
          </w:p>
          <w:p>
            <w:pPr>
              <w:pStyle w:val="StandardWW"/>
              <w:spacing w:lineRule="auto" w:line="240"/>
              <w:jc w:val="left"/>
              <w:rPr/>
            </w:pPr>
            <w:r>
              <w:rPr>
                <w:rFonts w:eastAsia="Mangal"/>
                <w:sz w:val="18"/>
                <w:szCs w:val="18"/>
                <w:lang w:eastAsia="hi-IN"/>
              </w:rPr>
              <w:t>D.P.R. 459/1998</w:t>
            </w:r>
          </w:p>
        </w:tc>
      </w:tr>
      <w:tr>
        <w:trPr>
          <w:cantSplit w:val="true"/>
        </w:trPr>
        <w:tc>
          <w:tcPr>
            <w:tcW w:w="2277"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 xml:space="preserve">Risanamento acustico delle </w:t>
            </w:r>
            <w:r>
              <w:rPr>
                <w:rFonts w:eastAsia="Mangal"/>
                <w:b/>
                <w:bCs/>
                <w:sz w:val="18"/>
                <w:szCs w:val="18"/>
                <w:u w:val="single"/>
                <w:lang w:eastAsia="hi-IN"/>
              </w:rPr>
              <w:t>infrastrutture aeroportuali</w:t>
            </w:r>
          </w:p>
        </w:tc>
        <w:tc>
          <w:tcPr>
            <w:tcW w:w="2740"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Aeroporti ubicati nell’Agglomerato di Cagliari</w:t>
            </w:r>
          </w:p>
        </w:tc>
        <w:tc>
          <w:tcPr>
            <w:tcW w:w="2166"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SOGAER</w:t>
            </w:r>
          </w:p>
        </w:tc>
        <w:tc>
          <w:tcPr>
            <w:tcW w:w="2459" w:type="dxa"/>
            <w:tcBorders>
              <w:top w:val="single" w:sz="2" w:space="0" w:color="000000"/>
              <w:left w:val="single" w:sz="2" w:space="0" w:color="000000"/>
              <w:bottom w:val="single" w:sz="2" w:space="0" w:color="000000"/>
              <w:right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D.M. 31/10/1997</w:t>
            </w:r>
          </w:p>
          <w:p>
            <w:pPr>
              <w:pStyle w:val="StandardWW"/>
              <w:spacing w:lineRule="auto" w:line="240"/>
              <w:jc w:val="left"/>
              <w:rPr/>
            </w:pPr>
            <w:r>
              <w:rPr>
                <w:rFonts w:eastAsia="Mangal"/>
                <w:sz w:val="18"/>
                <w:szCs w:val="18"/>
                <w:lang w:eastAsia="hi-IN"/>
              </w:rPr>
              <w:t>D.M. 496/1997</w:t>
            </w:r>
          </w:p>
          <w:p>
            <w:pPr>
              <w:pStyle w:val="StandardWW"/>
              <w:spacing w:lineRule="auto" w:line="240"/>
              <w:jc w:val="left"/>
              <w:rPr/>
            </w:pPr>
            <w:r>
              <w:rPr>
                <w:rFonts w:eastAsia="Mangal"/>
                <w:sz w:val="18"/>
                <w:szCs w:val="18"/>
                <w:lang w:eastAsia="hi-IN"/>
              </w:rPr>
              <w:t>D.M. 20/5/1999</w:t>
            </w:r>
          </w:p>
          <w:p>
            <w:pPr>
              <w:pStyle w:val="StandardWW"/>
              <w:spacing w:lineRule="auto" w:line="240"/>
              <w:jc w:val="left"/>
              <w:rPr/>
            </w:pPr>
            <w:r>
              <w:rPr>
                <w:rFonts w:eastAsia="Mangal"/>
                <w:sz w:val="18"/>
                <w:szCs w:val="18"/>
                <w:lang w:eastAsia="hi-IN"/>
              </w:rPr>
              <w:t>D.P.R. 476/1999</w:t>
            </w:r>
          </w:p>
          <w:p>
            <w:pPr>
              <w:pStyle w:val="StandardWW"/>
              <w:spacing w:lineRule="auto" w:line="240"/>
              <w:jc w:val="left"/>
              <w:rPr/>
            </w:pPr>
            <w:r>
              <w:rPr>
                <w:rFonts w:eastAsia="Mangal"/>
                <w:sz w:val="18"/>
                <w:szCs w:val="18"/>
                <w:lang w:eastAsia="hi-IN"/>
              </w:rPr>
              <w:t>D.M. 3/12/1999</w:t>
            </w:r>
          </w:p>
          <w:p>
            <w:pPr>
              <w:pStyle w:val="StandardWW"/>
              <w:spacing w:lineRule="auto" w:line="240"/>
              <w:jc w:val="left"/>
              <w:rPr/>
            </w:pPr>
            <w:r>
              <w:rPr>
                <w:rFonts w:eastAsia="Mangal"/>
                <w:sz w:val="18"/>
                <w:szCs w:val="18"/>
                <w:lang w:eastAsia="hi-IN"/>
              </w:rPr>
              <w:t>D.Lgs. 13/2005</w:t>
            </w:r>
          </w:p>
        </w:tc>
      </w:tr>
      <w:tr>
        <w:trPr>
          <w:cantSplit w:val="true"/>
        </w:trPr>
        <w:tc>
          <w:tcPr>
            <w:tcW w:w="2277"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 xml:space="preserve">Risanamento acustico delle </w:t>
            </w:r>
            <w:r>
              <w:rPr>
                <w:rFonts w:eastAsia="Mangal"/>
                <w:b/>
                <w:bCs/>
                <w:sz w:val="18"/>
                <w:szCs w:val="18"/>
                <w:u w:val="single"/>
                <w:lang w:eastAsia="hi-IN"/>
              </w:rPr>
              <w:t>infrastrutture portuali</w:t>
            </w:r>
          </w:p>
        </w:tc>
        <w:tc>
          <w:tcPr>
            <w:tcW w:w="2740"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Porti ubicati nell’Agglomerato di Cagliari</w:t>
            </w:r>
          </w:p>
        </w:tc>
        <w:tc>
          <w:tcPr>
            <w:tcW w:w="2166"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cs="AAKCKK+Arial, Arial"/>
                <w:color w:val="000000"/>
                <w:sz w:val="18"/>
                <w:szCs w:val="18"/>
                <w:lang w:eastAsia="hi-IN"/>
              </w:rPr>
              <w:t>Autorità di Sistema Portuale del Mare di Sardegna</w:t>
            </w:r>
          </w:p>
        </w:tc>
        <w:tc>
          <w:tcPr>
            <w:tcW w:w="2459" w:type="dxa"/>
            <w:tcBorders>
              <w:top w:val="single" w:sz="2" w:space="0" w:color="000000"/>
              <w:left w:val="single" w:sz="2" w:space="0" w:color="000000"/>
              <w:bottom w:val="single" w:sz="2" w:space="0" w:color="000000"/>
              <w:right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L.q. 447/1995</w:t>
            </w:r>
          </w:p>
          <w:p>
            <w:pPr>
              <w:pStyle w:val="StandardWW"/>
              <w:spacing w:lineRule="auto" w:line="240"/>
              <w:jc w:val="left"/>
              <w:rPr/>
            </w:pPr>
            <w:r>
              <w:rPr>
                <w:rFonts w:eastAsia="Mangal"/>
                <w:sz w:val="18"/>
                <w:szCs w:val="18"/>
                <w:lang w:eastAsia="hi-IN"/>
              </w:rPr>
              <w:t>D.G.R. 62/9 del 14/11/2008 (RAS)</w:t>
            </w:r>
          </w:p>
        </w:tc>
      </w:tr>
      <w:tr>
        <w:trPr>
          <w:cantSplit w:val="true"/>
        </w:trPr>
        <w:tc>
          <w:tcPr>
            <w:tcW w:w="2277"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 xml:space="preserve">Risanamento acustico delle </w:t>
            </w:r>
            <w:r>
              <w:rPr>
                <w:rFonts w:eastAsia="Mangal"/>
                <w:b/>
                <w:bCs/>
                <w:sz w:val="18"/>
                <w:szCs w:val="18"/>
                <w:u w:val="single"/>
                <w:lang w:eastAsia="hi-IN"/>
              </w:rPr>
              <w:t>attività industriali</w:t>
            </w:r>
          </w:p>
        </w:tc>
        <w:tc>
          <w:tcPr>
            <w:tcW w:w="2740"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Attività industriali ubicate nell’Agglomerato di Cagliari</w:t>
            </w:r>
          </w:p>
        </w:tc>
        <w:tc>
          <w:tcPr>
            <w:tcW w:w="2166" w:type="dxa"/>
            <w:tcBorders>
              <w:top w:val="single" w:sz="2" w:space="0" w:color="000000"/>
              <w:left w:val="single" w:sz="2" w:space="0" w:color="000000"/>
              <w:bottom w:val="single" w:sz="4" w:space="0" w:color="000000"/>
            </w:tcBorders>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aziende inserite nell’Agglomerato di Cagliari</w:t>
            </w:r>
          </w:p>
        </w:tc>
        <w:tc>
          <w:tcPr>
            <w:tcW w:w="2459" w:type="dxa"/>
            <w:tcBorders>
              <w:top w:val="single" w:sz="2" w:space="0" w:color="000000"/>
              <w:left w:val="single" w:sz="2" w:space="0" w:color="000000"/>
              <w:bottom w:val="single" w:sz="2" w:space="0" w:color="000000"/>
              <w:right w:val="single" w:sz="4" w:space="0" w:color="000000"/>
            </w:tcBorders>
            <w:shd w:color="auto" w:fill="auto" w:val="clear"/>
            <w:tcMar>
              <w:top w:w="57" w:type="dxa"/>
              <w:left w:w="57" w:type="dxa"/>
              <w:bottom w:w="57" w:type="dxa"/>
              <w:right w:w="57" w:type="dxa"/>
            </w:tcMar>
            <w:vAlign w:val="center"/>
          </w:tcPr>
          <w:p>
            <w:pPr>
              <w:pStyle w:val="StandardWW"/>
              <w:spacing w:lineRule="auto" w:line="240"/>
              <w:jc w:val="left"/>
              <w:rPr/>
            </w:pPr>
            <w:r>
              <w:rPr>
                <w:rFonts w:eastAsia="Mangal"/>
                <w:sz w:val="18"/>
                <w:szCs w:val="18"/>
                <w:lang w:eastAsia="hi-IN"/>
              </w:rPr>
              <w:t>L.q. 447/1995</w:t>
            </w:r>
          </w:p>
          <w:p>
            <w:pPr>
              <w:pStyle w:val="StandardWW"/>
              <w:spacing w:lineRule="auto" w:line="240"/>
              <w:jc w:val="left"/>
              <w:rPr/>
            </w:pPr>
            <w:r>
              <w:rPr>
                <w:rFonts w:eastAsia="Mangal"/>
                <w:sz w:val="18"/>
                <w:szCs w:val="18"/>
                <w:lang w:eastAsia="hi-IN"/>
              </w:rPr>
              <w:t>D.G.R. 62/9 del 14/11/2008 (RAS))</w:t>
            </w:r>
          </w:p>
        </w:tc>
      </w:tr>
    </w:tbl>
    <w:p>
      <w:pPr>
        <w:pStyle w:val="StandardWW"/>
        <w:spacing w:lineRule="auto" w:line="240"/>
        <w:rPr>
          <w:rFonts w:eastAsia="Mangal"/>
          <w:lang w:eastAsia="hi-IN"/>
        </w:rPr>
      </w:pPr>
      <w:r>
        <w:rPr>
          <w:rFonts w:eastAsia="Mangal"/>
          <w:lang w:eastAsia="hi-IN"/>
        </w:rPr>
      </w:r>
    </w:p>
    <w:p>
      <w:pPr>
        <w:pStyle w:val="NormaleCorpo"/>
        <w:spacing w:lineRule="auto" w:line="360" w:before="280" w:after="120"/>
        <w:rPr/>
      </w:pPr>
      <w:r>
        <w:rPr>
          <w:rFonts w:cs="Arial" w:ascii="Arial" w:hAnsi="Arial"/>
          <w:sz w:val="20"/>
          <w:szCs w:val="20"/>
        </w:rPr>
        <w:t>Il D.Lgs. 194/2005 prevede l’emanazione di una serie di decreti attuativi che al momento ancora non sono stati emanati: il decreto finalizzato a definire i criteri e le metodologie per la predisposizione della mappatura acustica e delle mappe acustiche strategiche (articolo 3, comma 5), il decreto relativo ai criteri per la predisposizione dei piani d’azione (articolo 4, comma 5), il decreto relativo ai criteri e agli algoritmi per la conversione dei valori limite per i descrittori acustici Lden</w:t>
      </w:r>
      <w:r>
        <w:rPr>
          <w:rFonts w:cs="Arial" w:ascii="Arial" w:hAnsi="Arial"/>
          <w:sz w:val="20"/>
          <w:szCs w:val="20"/>
          <w:vertAlign w:val="subscript"/>
        </w:rPr>
        <w:t xml:space="preserve"> </w:t>
      </w:r>
      <w:r>
        <w:rPr>
          <w:rFonts w:cs="Arial" w:ascii="Arial" w:hAnsi="Arial"/>
          <w:sz w:val="20"/>
          <w:szCs w:val="20"/>
        </w:rPr>
        <w:t>e Lnight</w:t>
      </w:r>
      <w:r>
        <w:rPr>
          <w:rFonts w:cs="Arial" w:ascii="Arial" w:hAnsi="Arial"/>
          <w:sz w:val="20"/>
          <w:szCs w:val="20"/>
          <w:vertAlign w:val="subscript"/>
        </w:rPr>
        <w:t xml:space="preserve"> </w:t>
      </w:r>
      <w:r>
        <w:rPr>
          <w:rFonts w:cs="Arial" w:ascii="Arial" w:hAnsi="Arial"/>
          <w:sz w:val="20"/>
          <w:szCs w:val="20"/>
        </w:rPr>
        <w:t>(articolo 5, comma 2), il decreto inerente ai metodi di determinazione dei descrittori acustici Lden</w:t>
      </w:r>
      <w:r>
        <w:rPr>
          <w:rFonts w:cs="Arial" w:ascii="Arial" w:hAnsi="Arial"/>
          <w:sz w:val="20"/>
          <w:szCs w:val="20"/>
          <w:vertAlign w:val="subscript"/>
        </w:rPr>
        <w:t xml:space="preserve"> </w:t>
      </w:r>
      <w:r>
        <w:rPr>
          <w:rFonts w:cs="Arial" w:ascii="Arial" w:hAnsi="Arial"/>
          <w:sz w:val="20"/>
          <w:szCs w:val="20"/>
        </w:rPr>
        <w:t>e Lnight</w:t>
      </w:r>
      <w:r>
        <w:rPr>
          <w:rFonts w:cs="Arial" w:ascii="Arial" w:hAnsi="Arial"/>
          <w:sz w:val="20"/>
          <w:szCs w:val="20"/>
          <w:vertAlign w:val="subscript"/>
        </w:rPr>
        <w:t xml:space="preserve"> </w:t>
      </w:r>
      <w:r>
        <w:rPr>
          <w:rFonts w:cs="Arial" w:ascii="Arial" w:hAnsi="Arial"/>
          <w:sz w:val="20"/>
          <w:szCs w:val="20"/>
        </w:rPr>
        <w:t>(articolo 6, comma 1).</w:t>
      </w:r>
    </w:p>
    <w:p>
      <w:pPr>
        <w:pStyle w:val="NormaleCorpo"/>
        <w:spacing w:lineRule="auto" w:line="360" w:before="280" w:after="120"/>
        <w:rPr/>
      </w:pPr>
      <w:r>
        <w:rPr>
          <w:rFonts w:cs="Arial" w:ascii="Arial" w:hAnsi="Arial"/>
          <w:sz w:val="20"/>
          <w:szCs w:val="20"/>
        </w:rPr>
        <w:t>Occorre tuttavia ricordare che l’ente normatore italiano UNI ha pubblicato le seguenti norme di valenza tecnica:</w:t>
      </w:r>
    </w:p>
    <w:p>
      <w:pPr>
        <w:pStyle w:val="NormaleCorpo"/>
        <w:numPr>
          <w:ilvl w:val="0"/>
          <w:numId w:val="6"/>
        </w:numPr>
        <w:spacing w:lineRule="auto" w:line="360" w:before="280" w:after="120"/>
        <w:rPr/>
      </w:pPr>
      <w:r>
        <w:rPr>
          <w:rFonts w:cs="Arial" w:ascii="Arial" w:hAnsi="Arial"/>
          <w:sz w:val="20"/>
          <w:szCs w:val="20"/>
        </w:rPr>
        <w:t xml:space="preserve">UNI 11252:2007 Acustica - </w:t>
      </w:r>
      <w:r>
        <w:rPr>
          <w:rFonts w:cs="Arial" w:ascii="Arial" w:hAnsi="Arial"/>
          <w:i/>
          <w:iCs/>
          <w:sz w:val="20"/>
          <w:szCs w:val="20"/>
        </w:rPr>
        <w:t xml:space="preserve">Procedure di conversione dei valori di LAeq diurno e notturno e di LVA nei descrittori Lden e Lnight </w:t>
      </w:r>
      <w:r>
        <w:rPr>
          <w:rFonts w:cs="Arial" w:ascii="Arial" w:hAnsi="Arial"/>
          <w:sz w:val="20"/>
          <w:szCs w:val="20"/>
        </w:rPr>
        <w:t>[2]</w:t>
      </w:r>
      <w:r>
        <w:rPr>
          <w:rFonts w:cs="Arial" w:ascii="Arial" w:hAnsi="Arial"/>
          <w:i/>
          <w:iCs/>
          <w:sz w:val="20"/>
          <w:szCs w:val="20"/>
        </w:rPr>
        <w:t>.</w:t>
      </w:r>
    </w:p>
    <w:p>
      <w:pPr>
        <w:pStyle w:val="NormaleCorpo"/>
        <w:numPr>
          <w:ilvl w:val="0"/>
          <w:numId w:val="194"/>
        </w:numPr>
        <w:spacing w:lineRule="auto" w:line="360" w:before="0" w:after="120"/>
        <w:rPr/>
      </w:pPr>
      <w:r>
        <w:rPr>
          <w:rFonts w:cs="Arial" w:ascii="Arial" w:hAnsi="Arial"/>
          <w:sz w:val="20"/>
          <w:szCs w:val="20"/>
        </w:rPr>
        <w:t>UNI/TR 11327:2009 Acustica</w:t>
      </w:r>
      <w:r>
        <w:rPr>
          <w:rFonts w:cs="Arial" w:ascii="Arial" w:hAnsi="Arial"/>
          <w:i/>
          <w:iCs/>
          <w:sz w:val="20"/>
          <w:szCs w:val="20"/>
        </w:rPr>
        <w:t xml:space="preserve"> – Criteri per la predisposizione dei piani d’azione destinati a gestire i problemi di inquinamento acusti</w:t>
      </w:r>
      <w:r>
        <w:rPr>
          <w:rFonts w:cs="Arial" w:ascii="Arial" w:hAnsi="Arial"/>
          <w:sz w:val="20"/>
          <w:szCs w:val="20"/>
        </w:rPr>
        <w:t>co</w:t>
      </w:r>
    </w:p>
    <w:p>
      <w:pPr>
        <w:pStyle w:val="NormaleCorpo"/>
        <w:spacing w:lineRule="auto" w:line="360" w:before="280" w:after="120"/>
        <w:rPr/>
      </w:pPr>
      <w:r>
        <w:rPr>
          <w:rFonts w:cs="Arial" w:ascii="Arial" w:hAnsi="Arial"/>
          <w:sz w:val="20"/>
          <w:szCs w:val="20"/>
        </w:rPr>
        <w:t>Inoltre il Ministero dell'Ambiente e della Tutela del Territorio e del Mare (MATTM) ha negli anni predisposto dei documenti denominati:</w:t>
      </w:r>
    </w:p>
    <w:p>
      <w:pPr>
        <w:pStyle w:val="NormaleCorpo"/>
        <w:numPr>
          <w:ilvl w:val="0"/>
          <w:numId w:val="195"/>
        </w:numPr>
        <w:spacing w:lineRule="auto" w:line="360" w:before="280" w:after="120"/>
        <w:rPr/>
      </w:pPr>
      <w:r>
        <w:rPr>
          <w:rFonts w:cs="Arial" w:ascii="Arial" w:hAnsi="Arial"/>
          <w:sz w:val="20"/>
          <w:szCs w:val="20"/>
        </w:rPr>
        <w:t>Specifiche tecniche per la predisposizione e la consegna dei set di dati digitali relativi alle mappature acustiche e alle mappe acustiche strategiche (D.Lgs. 194/2005), marzo 2022;</w:t>
      </w:r>
    </w:p>
    <w:p>
      <w:pPr>
        <w:pStyle w:val="NormaleCorpo"/>
        <w:numPr>
          <w:ilvl w:val="0"/>
          <w:numId w:val="196"/>
        </w:numPr>
        <w:spacing w:lineRule="auto" w:line="360" w:before="0" w:after="120"/>
        <w:rPr/>
      </w:pPr>
      <w:r>
        <w:rPr>
          <w:rFonts w:cs="Arial" w:ascii="Arial" w:hAnsi="Arial"/>
          <w:sz w:val="20"/>
          <w:szCs w:val="20"/>
        </w:rPr>
        <w:t>Specifiche tecniche per la compilazione dei metadati relativi ai set di dati digitali relativi alle mappature acustiche e alle mappe acustiche strategiche (D.Lgs. 194/2005), marzo 2022;</w:t>
      </w:r>
    </w:p>
    <w:p>
      <w:pPr>
        <w:pStyle w:val="NormaleCorpo"/>
        <w:numPr>
          <w:ilvl w:val="0"/>
          <w:numId w:val="197"/>
        </w:numPr>
        <w:spacing w:lineRule="auto" w:line="360" w:before="0" w:after="120"/>
        <w:rPr/>
      </w:pPr>
      <w:r>
        <w:rPr>
          <w:rFonts w:cs="Arial" w:ascii="Arial" w:hAnsi="Arial"/>
          <w:sz w:val="20"/>
          <w:szCs w:val="20"/>
        </w:rPr>
        <w:t>Definizione del contenuto minimo delle relazioni inerenti alla metodologia di determinazione delle mappature acustiche e mappe acustiche strategiche e valori descrittivi delle zone soggette ai livelli di rumore - Linee guida, marzo 2022;</w:t>
      </w:r>
    </w:p>
    <w:p>
      <w:pPr>
        <w:pStyle w:val="NormaleCorpo"/>
        <w:numPr>
          <w:ilvl w:val="0"/>
          <w:numId w:val="198"/>
        </w:numPr>
        <w:spacing w:lineRule="auto" w:line="360" w:before="0" w:after="120"/>
        <w:rPr/>
      </w:pPr>
      <w:r>
        <w:rPr>
          <w:rFonts w:cs="Arial" w:ascii="Arial" w:hAnsi="Arial"/>
          <w:sz w:val="20"/>
          <w:szCs w:val="20"/>
        </w:rPr>
        <w:t>File zip contenente gli schemi, in formato GeoPackage (.gpkg), per la notifica delle sorgenti di rumore (DF1_5) – aggiornamento marzo 2022;</w:t>
      </w:r>
    </w:p>
    <w:p>
      <w:pPr>
        <w:pStyle w:val="NormaleCorpo"/>
        <w:numPr>
          <w:ilvl w:val="0"/>
          <w:numId w:val="199"/>
        </w:numPr>
        <w:spacing w:lineRule="auto" w:line="360" w:before="0" w:after="120"/>
        <w:rPr/>
      </w:pPr>
      <w:r>
        <w:rPr>
          <w:rFonts w:cs="Arial" w:ascii="Arial" w:hAnsi="Arial"/>
          <w:sz w:val="20"/>
          <w:szCs w:val="20"/>
        </w:rPr>
        <w:t>File, in formato excel (.xls), per la dichiarazione delle autorità compenti (DF2) per la redazione e trasmissione delle mappature acustiche e delle mappe acustiche strategiche;</w:t>
      </w:r>
    </w:p>
    <w:p>
      <w:pPr>
        <w:pStyle w:val="NormaleCorpo"/>
        <w:numPr>
          <w:ilvl w:val="0"/>
          <w:numId w:val="200"/>
        </w:numPr>
        <w:spacing w:lineRule="auto" w:line="360" w:before="0" w:after="120"/>
        <w:rPr/>
      </w:pPr>
      <w:r>
        <w:rPr>
          <w:rFonts w:cs="Arial" w:ascii="Arial" w:hAnsi="Arial"/>
          <w:sz w:val="20"/>
          <w:szCs w:val="20"/>
        </w:rPr>
        <w:t>File zip contenente gli schemi, in formato GeoPackage (.gpkg), per le mappature acustiche e le mappe acustiche strategiche delle sorgenti dichiarate (DF4_8) – aggiornamento maggio 2022;</w:t>
      </w:r>
    </w:p>
    <w:p>
      <w:pPr>
        <w:pStyle w:val="NormaleCorpo"/>
        <w:spacing w:lineRule="auto" w:line="360" w:before="280" w:after="120"/>
        <w:rPr/>
      </w:pPr>
      <w:r>
        <w:rPr>
          <w:rFonts w:cs="Arial" w:ascii="Arial" w:hAnsi="Arial"/>
          <w:sz w:val="20"/>
          <w:szCs w:val="20"/>
        </w:rPr>
        <w:t>In relazione alla stesura dei Piani d’Azione nello specifico:</w:t>
      </w:r>
    </w:p>
    <w:p>
      <w:pPr>
        <w:pStyle w:val="NormaleCorpo"/>
        <w:numPr>
          <w:ilvl w:val="0"/>
          <w:numId w:val="201"/>
        </w:numPr>
        <w:spacing w:lineRule="auto" w:line="360" w:before="280" w:after="120"/>
        <w:rPr/>
      </w:pPr>
      <w:r>
        <w:rPr>
          <w:rFonts w:cs="Arial" w:ascii="Arial" w:hAnsi="Arial"/>
          <w:sz w:val="20"/>
          <w:szCs w:val="20"/>
        </w:rPr>
        <w:t>Specifiche dati Piani d'Azione</w:t>
      </w:r>
    </w:p>
    <w:p>
      <w:pPr>
        <w:pStyle w:val="NormaleCorpo"/>
        <w:numPr>
          <w:ilvl w:val="0"/>
          <w:numId w:val="202"/>
        </w:numPr>
        <w:spacing w:lineRule="auto" w:line="360" w:before="0" w:after="120"/>
        <w:rPr/>
      </w:pPr>
      <w:r>
        <w:rPr>
          <w:rFonts w:cs="Arial" w:ascii="Arial" w:hAnsi="Arial"/>
          <w:sz w:val="20"/>
          <w:szCs w:val="20"/>
        </w:rPr>
        <w:t>Specifiche Metadato</w:t>
      </w:r>
    </w:p>
    <w:p>
      <w:pPr>
        <w:pStyle w:val="NormaleCorpo"/>
        <w:numPr>
          <w:ilvl w:val="0"/>
          <w:numId w:val="203"/>
        </w:numPr>
        <w:spacing w:lineRule="auto" w:line="360" w:before="0" w:after="120"/>
        <w:rPr/>
      </w:pPr>
      <w:r>
        <w:rPr>
          <w:rFonts w:cs="Arial" w:ascii="Arial" w:hAnsi="Arial"/>
          <w:sz w:val="20"/>
          <w:szCs w:val="20"/>
        </w:rPr>
        <w:t>Sintesi Piani d'Azione</w:t>
      </w:r>
    </w:p>
    <w:p>
      <w:pPr>
        <w:pStyle w:val="NormaleCorpo"/>
        <w:numPr>
          <w:ilvl w:val="0"/>
          <w:numId w:val="204"/>
        </w:numPr>
        <w:spacing w:lineRule="auto" w:line="360" w:before="0" w:after="120"/>
        <w:rPr/>
      </w:pPr>
      <w:r>
        <w:rPr>
          <w:rFonts w:cs="Arial" w:ascii="Arial" w:hAnsi="Arial"/>
          <w:sz w:val="20"/>
          <w:szCs w:val="20"/>
        </w:rPr>
        <w:t>Data Model - dicembre 2022</w:t>
      </w:r>
    </w:p>
    <w:p>
      <w:pPr>
        <w:pStyle w:val="NormaleCorpo"/>
        <w:numPr>
          <w:ilvl w:val="0"/>
          <w:numId w:val="205"/>
        </w:numPr>
        <w:spacing w:lineRule="auto" w:line="360" w:before="0" w:after="120"/>
        <w:rPr/>
      </w:pPr>
      <w:r>
        <w:rPr>
          <w:rFonts w:cs="Arial" w:ascii="Arial" w:hAnsi="Arial"/>
          <w:sz w:val="20"/>
          <w:szCs w:val="20"/>
        </w:rPr>
        <w:t>Linee guida - dicembre 2022</w:t>
      </w:r>
    </w:p>
    <w:p>
      <w:pPr>
        <w:pStyle w:val="NormaleCorpo"/>
        <w:numPr>
          <w:ilvl w:val="0"/>
          <w:numId w:val="206"/>
        </w:numPr>
        <w:spacing w:lineRule="auto" w:line="360" w:before="0" w:after="120"/>
        <w:rPr/>
      </w:pPr>
      <w:r>
        <w:rPr>
          <w:rFonts w:cs="Arial" w:ascii="Arial" w:hAnsi="Arial"/>
          <w:sz w:val="20"/>
          <w:szCs w:val="20"/>
        </w:rPr>
        <w:t>Geopackage template - marzo 2022</w:t>
      </w:r>
    </w:p>
    <w:p>
      <w:pPr>
        <w:pStyle w:val="NormaleCorpo"/>
        <w:numPr>
          <w:ilvl w:val="0"/>
          <w:numId w:val="207"/>
        </w:numPr>
        <w:spacing w:lineRule="auto" w:line="360" w:before="0" w:after="120"/>
        <w:rPr/>
      </w:pPr>
      <w:r>
        <w:rPr>
          <w:rFonts w:cs="Arial" w:ascii="Arial" w:hAnsi="Arial"/>
          <w:sz w:val="20"/>
          <w:szCs w:val="20"/>
        </w:rPr>
        <w:t>Excel template - dicembre 2022</w:t>
      </w:r>
    </w:p>
    <w:p>
      <w:pPr>
        <w:pStyle w:val="NormaleCorpo"/>
        <w:spacing w:lineRule="auto" w:line="360" w:before="280" w:after="120"/>
        <w:rPr/>
      </w:pPr>
      <w:r>
        <w:rPr>
          <w:rFonts w:eastAsia="Helvetica, Arial" w:cs="Arial" w:ascii="Arial" w:hAnsi="Arial"/>
          <w:sz w:val="20"/>
          <w:szCs w:val="20"/>
        </w:rPr>
        <w:t xml:space="preserve">I </w:t>
      </w:r>
      <w:r>
        <w:rPr>
          <w:rFonts w:eastAsia="Helvetica, Arial" w:cs="Arial" w:ascii="Arial" w:hAnsi="Arial"/>
          <w:b/>
          <w:bCs/>
          <w:sz w:val="20"/>
          <w:szCs w:val="20"/>
        </w:rPr>
        <w:t>piani d'azione</w:t>
      </w:r>
      <w:r>
        <w:rPr>
          <w:rFonts w:eastAsia="Helvetica, Arial" w:cs="Arial" w:ascii="Arial" w:hAnsi="Arial"/>
          <w:sz w:val="20"/>
          <w:szCs w:val="20"/>
        </w:rPr>
        <w:t xml:space="preserve"> rappresentano </w:t>
      </w:r>
      <w:r>
        <w:rPr>
          <w:rFonts w:cs="Arial" w:ascii="Arial" w:hAnsi="Arial"/>
          <w:sz w:val="20"/>
          <w:szCs w:val="20"/>
        </w:rPr>
        <w:t xml:space="preserve">“i piani destinati a gestire i problemi di inquinamento acustico ed i relativi effetti, compresa, se necessario, la sua riduzione” </w:t>
      </w:r>
      <w:r>
        <w:rPr>
          <w:rFonts w:eastAsia="Helvetica, Arial" w:cs="Arial" w:ascii="Arial" w:hAnsi="Arial"/>
          <w:sz w:val="20"/>
          <w:szCs w:val="20"/>
        </w:rPr>
        <w:t>(cfr. lettera q) comma 1 articolo 2 del D.Lgs.).</w:t>
      </w:r>
    </w:p>
    <w:p>
      <w:pPr>
        <w:pStyle w:val="NormaleCorpo"/>
        <w:spacing w:lineRule="auto" w:line="360" w:before="280" w:after="120"/>
        <w:rPr/>
      </w:pPr>
      <w:r>
        <w:rPr>
          <w:rFonts w:cs="Arial" w:ascii="Arial" w:hAnsi="Arial"/>
          <w:sz w:val="20"/>
          <w:szCs w:val="20"/>
        </w:rPr>
        <w:t>La finalità di questi strumenti è di evitare, prevenire o ridurre gli effetti nocivi dell’esposizione al rumore ambientale, compreso il fastidio, assicurando l’informazione e la partecipazione del pubblico.</w:t>
      </w:r>
    </w:p>
    <w:p>
      <w:pPr>
        <w:pStyle w:val="StandardWW"/>
        <w:spacing w:lineRule="auto" w:line="240"/>
        <w:rPr>
          <w:rFonts w:eastAsia="Mangal"/>
          <w:lang w:eastAsia="hi-IN"/>
        </w:rPr>
      </w:pPr>
      <w:r>
        <w:rPr>
          <w:rFonts w:eastAsia="Mangal"/>
          <w:lang w:eastAsia="hi-IN"/>
        </w:rPr>
      </w:r>
    </w:p>
    <w:p>
      <w:pPr>
        <w:pStyle w:val="Heading1"/>
        <w:numPr>
          <w:ilvl w:val="0"/>
          <w:numId w:val="208"/>
        </w:numPr>
        <w:rPr/>
      </w:pPr>
      <w:bookmarkStart w:id="12" w:name="__RefHeading___Toc6106_3300957195"/>
      <w:bookmarkStart w:id="13" w:name="_Toc178778177"/>
      <w:bookmarkEnd w:id="12"/>
      <w:r>
        <w:rPr/>
        <w:t>VALORI LIMITE IN VIGORE AI SENSI DELL’ART.5 DEL D.LGS. 194/2005 - Requisito di cui all. 5 D.Lgs. 194/2005 lett.d)</w:t>
      </w:r>
      <w:bookmarkEnd w:id="13"/>
    </w:p>
    <w:p>
      <w:pPr>
        <w:pStyle w:val="StandardWW"/>
        <w:spacing w:lineRule="auto" w:line="240"/>
        <w:rPr>
          <w:rFonts w:eastAsia="Mangal"/>
          <w:lang w:eastAsia="hi-IN"/>
        </w:rPr>
      </w:pPr>
      <w:r>
        <w:rPr>
          <w:rFonts w:eastAsia="Mangal"/>
          <w:lang w:eastAsia="hi-IN"/>
        </w:rPr>
      </w:r>
    </w:p>
    <w:p>
      <w:pPr>
        <w:pStyle w:val="StandardWW"/>
        <w:spacing w:lineRule="auto" w:line="360" w:before="280" w:after="120"/>
        <w:rPr/>
      </w:pPr>
      <w:r>
        <w:rPr>
          <w:rFonts w:eastAsia="Mangal"/>
          <w:lang w:eastAsia="hi-IN"/>
        </w:rPr>
        <w:t xml:space="preserve">Secondo quanto previsto dall’art.5 D.Lgs. 194/2005 i “valori limite” devono essere espressi da ogni Paese Membro in termini di descrittori acustici europei </w:t>
      </w:r>
      <w:r>
        <w:rPr>
          <w:rFonts w:eastAsia="Mangal"/>
          <w:color w:val="000000"/>
          <w:lang w:eastAsia="hi-IN"/>
        </w:rPr>
        <w:t>Lden e Lnight</w:t>
      </w:r>
      <w:r>
        <w:rPr>
          <w:rFonts w:eastAsia="Mangal"/>
          <w:position w:val="-8"/>
          <w:lang w:eastAsia="hi-IN"/>
        </w:rPr>
        <w:t xml:space="preserve"> </w:t>
      </w:r>
      <w:r>
        <w:rPr>
          <w:rFonts w:eastAsia="Mangal"/>
          <w:lang w:eastAsia="hi-IN"/>
        </w:rPr>
        <w:t>.</w:t>
      </w:r>
    </w:p>
    <w:p>
      <w:pPr>
        <w:pStyle w:val="StandardWW"/>
        <w:spacing w:lineRule="auto" w:line="360" w:before="280" w:after="120"/>
        <w:rPr/>
      </w:pPr>
      <w:r>
        <w:rPr>
          <w:rFonts w:eastAsia="Mangal"/>
          <w:lang w:eastAsia="hi-IN"/>
        </w:rPr>
        <w:t>I decreti attuativi per la formulazione dei criteri ed algoritmi per la conversione dei valori limite previsti dall’art.2 del D.Lgs. non sono mai stati predisposti.</w:t>
      </w:r>
    </w:p>
    <w:p>
      <w:pPr>
        <w:pStyle w:val="StandardWW"/>
        <w:spacing w:lineRule="auto" w:line="360" w:before="280" w:after="120"/>
        <w:rPr/>
      </w:pPr>
      <w:r>
        <w:rPr>
          <w:rFonts w:eastAsia="Mangal"/>
          <w:lang w:eastAsia="hi-IN"/>
        </w:rPr>
        <w:t>Pertanto, al momento della pubblicazione del presente piano d'azione, vale il disposto del comma 4 art.5 del D.Lgs. 194/2005, che recita:</w:t>
      </w:r>
    </w:p>
    <w:p>
      <w:pPr>
        <w:pStyle w:val="StandardWW"/>
        <w:spacing w:lineRule="auto" w:line="360" w:before="280" w:after="120"/>
        <w:rPr/>
      </w:pPr>
      <w:r>
        <w:rPr>
          <w:rFonts w:eastAsia="Mangal"/>
          <w:lang w:eastAsia="hi-IN"/>
        </w:rPr>
        <w:t>Fino all'emanazione dei decreti di cui al comma 2 si utilizzano i descrittori acustici ed i relativi valori limite determinati ai sensi dell'art. 3 della legge n.447/1995, come definiti nelle norme attuative del DPCM 14/11/1997 (limiti di emissione e di immissione e valori guida), DPR n. 142/2004 (limiti per le infrastrutture stradali), DPR n.459/1998 (limiti per le infrastrutture ferroviarie) e il DM 31/10/1997 (limiti per le infrastrutture aeroportuali).</w:t>
      </w:r>
    </w:p>
    <w:p>
      <w:pPr>
        <w:pStyle w:val="StandardWW"/>
        <w:spacing w:lineRule="auto" w:line="360" w:before="280" w:after="120"/>
        <w:rPr/>
      </w:pPr>
      <w:r>
        <w:rPr/>
        <w:t>Ai sensi del DPCM 14/11/1997 Ii limiti si distinguono in:</w:t>
      </w:r>
    </w:p>
    <w:p>
      <w:pPr>
        <w:pStyle w:val="FigureTabelle"/>
        <w:rPr/>
      </w:pPr>
      <w:bookmarkStart w:id="14" w:name="_Toc171964380"/>
      <w:r>
        <w:rPr/>
        <w:t>Tabella 5.2 – Classi e limiti DPCM 14/11/1997</w:t>
      </w:r>
      <w:bookmarkEnd w:id="14"/>
    </w:p>
    <w:tbl>
      <w:tblPr>
        <w:tblW w:w="9121" w:type="dxa"/>
        <w:jc w:val="left"/>
        <w:tblInd w:w="-39" w:type="dxa"/>
        <w:tblLayout w:type="fixed"/>
        <w:tblCellMar>
          <w:top w:w="71" w:type="dxa"/>
          <w:left w:w="71" w:type="dxa"/>
          <w:bottom w:w="71" w:type="dxa"/>
          <w:right w:w="71" w:type="dxa"/>
        </w:tblCellMar>
        <w:tblLook w:firstRow="0" w:noVBand="0" w:lastRow="0" w:firstColumn="0" w:lastColumn="0" w:noHBand="0" w:val="0000"/>
      </w:tblPr>
      <w:tblGrid>
        <w:gridCol w:w="1660"/>
        <w:gridCol w:w="515"/>
        <w:gridCol w:w="969"/>
        <w:gridCol w:w="854"/>
        <w:gridCol w:w="1033"/>
        <w:gridCol w:w="852"/>
        <w:gridCol w:w="1048"/>
        <w:gridCol w:w="935"/>
        <w:gridCol w:w="1254"/>
      </w:tblGrid>
      <w:tr>
        <w:trPr>
          <w:tblHeader w:val="true"/>
          <w:trHeight w:val="567" w:hRule="atLeast"/>
          <w:cantSplit w:val="true"/>
        </w:trPr>
        <w:tc>
          <w:tcPr>
            <w:tcW w:w="9120" w:type="dxa"/>
            <w:gridSpan w:val="9"/>
            <w:tcBorders>
              <w:top w:val="single" w:sz="4" w:space="0" w:color="000000"/>
              <w:left w:val="single" w:sz="4" w:space="0" w:color="000000"/>
              <w:bottom w:val="single" w:sz="4" w:space="0" w:color="000000"/>
              <w:right w:val="single" w:sz="4" w:space="0" w:color="000000"/>
            </w:tcBorders>
            <w:shd w:color="auto" w:fill="BFBFBF" w:val="cle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i/>
                <w:iCs/>
                <w:sz w:val="24"/>
                <w:szCs w:val="24"/>
              </w:rPr>
              <w:t>D.P.C.M. 14 Novembre 1997</w:t>
            </w:r>
          </w:p>
        </w:tc>
      </w:tr>
      <w:tr>
        <w:trPr>
          <w:trHeight w:val="567" w:hRule="atLeast"/>
          <w:cantSplit w:val="true"/>
        </w:trPr>
        <w:tc>
          <w:tcPr>
            <w:tcW w:w="1660" w:type="dxa"/>
            <w:tcBorders>
              <w:top w:val="single" w:sz="4" w:space="0" w:color="000000"/>
              <w:left w:val="single" w:sz="4" w:space="0" w:color="000000"/>
              <w:right w:val="single" w:sz="4" w:space="0" w:color="000000"/>
            </w:tcBorders>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b/>
                <w:bCs/>
                <w:i/>
                <w:i/>
                <w:iCs/>
                <w:sz w:val="18"/>
                <w:szCs w:val="18"/>
              </w:rPr>
            </w:pPr>
            <w:r>
              <w:rPr>
                <w:b/>
                <w:bCs/>
                <w:i/>
                <w:iCs/>
                <w:sz w:val="18"/>
                <w:szCs w:val="18"/>
              </w:rPr>
            </w:r>
          </w:p>
        </w:tc>
        <w:tc>
          <w:tcPr>
            <w:tcW w:w="1484"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b/>
                <w:bCs/>
                <w:i/>
                <w:iCs/>
                <w:sz w:val="18"/>
                <w:szCs w:val="18"/>
              </w:rPr>
              <w:t>Art.2</w:t>
            </w:r>
          </w:p>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ind w:left="-61"/>
              <w:jc w:val="center"/>
              <w:rPr/>
            </w:pPr>
            <w:r>
              <w:rPr>
                <w:b/>
                <w:bCs/>
                <w:i/>
                <w:iCs/>
                <w:sz w:val="18"/>
                <w:szCs w:val="18"/>
              </w:rPr>
              <w:t>tab. B</w:t>
            </w:r>
          </w:p>
        </w:tc>
        <w:tc>
          <w:tcPr>
            <w:tcW w:w="1887"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i/>
                <w:iCs/>
                <w:sz w:val="18"/>
                <w:szCs w:val="18"/>
              </w:rPr>
              <w:t>Art.3</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jc w:val="center"/>
              <w:rPr/>
            </w:pPr>
            <w:r>
              <w:rPr>
                <w:b/>
                <w:bCs/>
                <w:i/>
                <w:iCs/>
                <w:sz w:val="18"/>
                <w:szCs w:val="18"/>
              </w:rPr>
              <w:t>tab. C</w:t>
            </w:r>
          </w:p>
        </w:tc>
        <w:tc>
          <w:tcPr>
            <w:tcW w:w="1900"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i/>
                <w:iCs/>
                <w:sz w:val="18"/>
                <w:szCs w:val="18"/>
              </w:rPr>
              <w:t>Art.7</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jc w:val="center"/>
              <w:rPr/>
            </w:pPr>
            <w:r>
              <w:rPr>
                <w:b/>
                <w:bCs/>
                <w:i/>
                <w:iCs/>
                <w:sz w:val="18"/>
                <w:szCs w:val="18"/>
              </w:rPr>
              <w:t>tab. D</w:t>
            </w:r>
          </w:p>
        </w:tc>
        <w:tc>
          <w:tcPr>
            <w:tcW w:w="2189"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i/>
                <w:iCs/>
                <w:sz w:val="18"/>
                <w:szCs w:val="18"/>
              </w:rPr>
              <w:t>Art.6</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jc w:val="center"/>
              <w:rPr/>
            </w:pPr>
            <w:r>
              <w:rPr>
                <w:b/>
                <w:bCs/>
                <w:i/>
                <w:iCs/>
                <w:sz w:val="18"/>
                <w:szCs w:val="18"/>
              </w:rPr>
              <w:t>[comma 1, lett. a)]</w:t>
            </w:r>
          </w:p>
        </w:tc>
      </w:tr>
      <w:tr>
        <w:trPr>
          <w:trHeight w:val="680" w:hRule="atLeast"/>
          <w:cantSplit w:val="true"/>
        </w:trPr>
        <w:tc>
          <w:tcPr>
            <w:tcW w:w="1660" w:type="dxa"/>
            <w:tcBorders>
              <w:left w:val="single" w:sz="4" w:space="0" w:color="000000"/>
              <w:bottom w:val="single" w:sz="4" w:space="0" w:color="000000"/>
              <w:right w:val="single" w:sz="4" w:space="0" w:color="000000"/>
            </w:tcBorders>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b/>
                <w:bCs/>
                <w:i/>
                <w:i/>
                <w:iCs/>
                <w:sz w:val="18"/>
                <w:szCs w:val="18"/>
              </w:rPr>
            </w:pPr>
            <w:r>
              <w:rPr>
                <w:b/>
                <w:bCs/>
                <w:i/>
                <w:iCs/>
                <w:sz w:val="18"/>
                <w:szCs w:val="18"/>
              </w:rPr>
            </w:r>
          </w:p>
        </w:tc>
        <w:tc>
          <w:tcPr>
            <w:tcW w:w="1484"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b/>
                <w:bCs/>
                <w:sz w:val="18"/>
                <w:szCs w:val="18"/>
              </w:rPr>
              <w:t>Valori limite</w:t>
            </w:r>
          </w:p>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ind w:left="-61"/>
              <w:jc w:val="center"/>
              <w:rPr/>
            </w:pPr>
            <w:r>
              <w:rPr>
                <w:b/>
                <w:bCs/>
                <w:sz w:val="18"/>
                <w:szCs w:val="18"/>
              </w:rPr>
              <w:t>di emissione</w:t>
            </w:r>
          </w:p>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ind w:left="-61"/>
              <w:jc w:val="center"/>
              <w:rPr/>
            </w:pPr>
            <w:r>
              <w:rPr>
                <w:b/>
                <w:bCs/>
                <w:sz w:val="18"/>
                <w:szCs w:val="18"/>
              </w:rPr>
              <w:t>dB(A)</w:t>
            </w:r>
          </w:p>
        </w:tc>
        <w:tc>
          <w:tcPr>
            <w:tcW w:w="1887"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sz w:val="18"/>
                <w:szCs w:val="18"/>
              </w:rPr>
              <w:t>Valori limite assoluti</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jc w:val="center"/>
              <w:rPr/>
            </w:pPr>
            <w:r>
              <w:rPr>
                <w:b/>
                <w:bCs/>
                <w:sz w:val="18"/>
                <w:szCs w:val="18"/>
              </w:rPr>
              <w:t>di immissione</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jc w:val="center"/>
              <w:rPr/>
            </w:pPr>
            <w:r>
              <w:rPr>
                <w:b/>
                <w:bCs/>
                <w:sz w:val="18"/>
                <w:szCs w:val="18"/>
              </w:rPr>
              <w:t>dB(A)</w:t>
            </w:r>
          </w:p>
        </w:tc>
        <w:tc>
          <w:tcPr>
            <w:tcW w:w="1900"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sz w:val="18"/>
                <w:szCs w:val="18"/>
              </w:rPr>
              <w:t>Valori di qualità</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sz w:val="18"/>
                <w:szCs w:val="18"/>
              </w:rPr>
              <w:t>dB(A)</w:t>
            </w:r>
          </w:p>
        </w:tc>
        <w:tc>
          <w:tcPr>
            <w:tcW w:w="2189" w:type="dxa"/>
            <w:gridSpan w:val="2"/>
            <w:tcBorders>
              <w:top w:val="single" w:sz="4" w:space="0" w:color="000000"/>
              <w:left w:val="single" w:sz="4" w:space="0" w:color="000000"/>
              <w:bottom w:val="single" w:sz="4" w:space="0" w:color="000000"/>
              <w:right w:val="single" w:sz="4" w:space="0" w:color="000000"/>
            </w:tcBorders>
            <w:shd w:color="auto" w:fill="FFFFF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sz w:val="18"/>
                <w:szCs w:val="18"/>
              </w:rPr>
              <w:t>Valori di attenzione*</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sz w:val="18"/>
                <w:szCs w:val="18"/>
              </w:rPr>
              <w:t>riferiti 1h</w:t>
            </w:r>
          </w:p>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sz w:val="18"/>
                <w:szCs w:val="18"/>
              </w:rPr>
              <w:t>dB(A)</w:t>
            </w:r>
          </w:p>
        </w:tc>
      </w:tr>
      <w:tr>
        <w:trPr>
          <w:trHeight w:val="454"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Classe</w:t>
            </w:r>
          </w:p>
        </w:tc>
        <w:tc>
          <w:tcPr>
            <w:tcW w:w="515"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diurno</w:t>
            </w:r>
          </w:p>
        </w:tc>
        <w:tc>
          <w:tcPr>
            <w:tcW w:w="969"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notturno</w:t>
            </w:r>
          </w:p>
        </w:tc>
        <w:tc>
          <w:tcPr>
            <w:tcW w:w="854"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diurno</w:t>
            </w:r>
          </w:p>
        </w:tc>
        <w:tc>
          <w:tcPr>
            <w:tcW w:w="1033"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notturno</w:t>
            </w:r>
          </w:p>
        </w:tc>
        <w:tc>
          <w:tcPr>
            <w:tcW w:w="852"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diurno</w:t>
            </w:r>
          </w:p>
        </w:tc>
        <w:tc>
          <w:tcPr>
            <w:tcW w:w="1048"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notturno</w:t>
            </w:r>
          </w:p>
        </w:tc>
        <w:tc>
          <w:tcPr>
            <w:tcW w:w="935"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diurno</w:t>
            </w:r>
          </w:p>
        </w:tc>
        <w:tc>
          <w:tcPr>
            <w:tcW w:w="1254" w:type="dxa"/>
            <w:tcBorders>
              <w:top w:val="single" w:sz="4" w:space="0" w:color="000000"/>
              <w:left w:val="single" w:sz="4" w:space="0" w:color="000000"/>
              <w:bottom w:val="single" w:sz="4" w:space="0" w:color="000000"/>
              <w:right w:val="single" w:sz="4" w:space="0" w:color="000000"/>
            </w:tcBorders>
            <w:shd w:color="auto" w:fill="BFBFBF"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notturno</w:t>
            </w:r>
          </w:p>
        </w:tc>
      </w:tr>
      <w:tr>
        <w:trPr>
          <w:trHeight w:val="360"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I (verde)</w:t>
            </w:r>
          </w:p>
        </w:tc>
        <w:tc>
          <w:tcPr>
            <w:tcW w:w="515"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45</w:t>
            </w:r>
          </w:p>
        </w:tc>
        <w:tc>
          <w:tcPr>
            <w:tcW w:w="969"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35</w:t>
            </w:r>
          </w:p>
        </w:tc>
        <w:tc>
          <w:tcPr>
            <w:tcW w:w="854"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50</w:t>
            </w:r>
          </w:p>
        </w:tc>
        <w:tc>
          <w:tcPr>
            <w:tcW w:w="1033"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40</w:t>
            </w:r>
          </w:p>
        </w:tc>
        <w:tc>
          <w:tcPr>
            <w:tcW w:w="852"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47</w:t>
            </w:r>
          </w:p>
        </w:tc>
        <w:tc>
          <w:tcPr>
            <w:tcW w:w="1048"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37</w:t>
            </w:r>
          </w:p>
        </w:tc>
        <w:tc>
          <w:tcPr>
            <w:tcW w:w="935"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60</w:t>
            </w:r>
          </w:p>
        </w:tc>
        <w:tc>
          <w:tcPr>
            <w:tcW w:w="1254" w:type="dxa"/>
            <w:tcBorders>
              <w:top w:val="single" w:sz="4" w:space="0" w:color="000000"/>
              <w:left w:val="single" w:sz="4" w:space="0" w:color="000000"/>
              <w:bottom w:val="single" w:sz="4" w:space="0" w:color="000000"/>
              <w:right w:val="single" w:sz="4" w:space="0" w:color="000000"/>
            </w:tcBorders>
            <w:shd w:color="auto" w:fill="70AD47"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45</w:t>
            </w:r>
          </w:p>
        </w:tc>
      </w:tr>
      <w:tr>
        <w:trPr>
          <w:trHeight w:val="360"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II (giallo)</w:t>
            </w:r>
          </w:p>
        </w:tc>
        <w:tc>
          <w:tcPr>
            <w:tcW w:w="515"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50</w:t>
            </w:r>
          </w:p>
        </w:tc>
        <w:tc>
          <w:tcPr>
            <w:tcW w:w="969"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40</w:t>
            </w:r>
          </w:p>
        </w:tc>
        <w:tc>
          <w:tcPr>
            <w:tcW w:w="854"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55</w:t>
            </w:r>
          </w:p>
        </w:tc>
        <w:tc>
          <w:tcPr>
            <w:tcW w:w="1033"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45</w:t>
            </w:r>
          </w:p>
        </w:tc>
        <w:tc>
          <w:tcPr>
            <w:tcW w:w="852"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52</w:t>
            </w:r>
          </w:p>
        </w:tc>
        <w:tc>
          <w:tcPr>
            <w:tcW w:w="1048"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42</w:t>
            </w:r>
          </w:p>
        </w:tc>
        <w:tc>
          <w:tcPr>
            <w:tcW w:w="935"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65</w:t>
            </w:r>
          </w:p>
        </w:tc>
        <w:tc>
          <w:tcPr>
            <w:tcW w:w="1254" w:type="dxa"/>
            <w:tcBorders>
              <w:top w:val="single" w:sz="4" w:space="0" w:color="000000"/>
              <w:left w:val="single" w:sz="4" w:space="0" w:color="000000"/>
              <w:bottom w:val="single" w:sz="4" w:space="0" w:color="000000"/>
              <w:right w:val="single" w:sz="4" w:space="0" w:color="000000"/>
            </w:tcBorders>
            <w:shd w:color="auto" w:fill="FFFF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50</w:t>
            </w:r>
          </w:p>
        </w:tc>
      </w:tr>
      <w:tr>
        <w:trPr>
          <w:trHeight w:val="360"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III (arancione)</w:t>
            </w:r>
          </w:p>
        </w:tc>
        <w:tc>
          <w:tcPr>
            <w:tcW w:w="515"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55</w:t>
            </w:r>
          </w:p>
        </w:tc>
        <w:tc>
          <w:tcPr>
            <w:tcW w:w="969"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45</w:t>
            </w:r>
          </w:p>
        </w:tc>
        <w:tc>
          <w:tcPr>
            <w:tcW w:w="854"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60</w:t>
            </w:r>
          </w:p>
        </w:tc>
        <w:tc>
          <w:tcPr>
            <w:tcW w:w="1033"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50</w:t>
            </w:r>
          </w:p>
        </w:tc>
        <w:tc>
          <w:tcPr>
            <w:tcW w:w="852"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57</w:t>
            </w:r>
          </w:p>
        </w:tc>
        <w:tc>
          <w:tcPr>
            <w:tcW w:w="1048"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47</w:t>
            </w:r>
          </w:p>
        </w:tc>
        <w:tc>
          <w:tcPr>
            <w:tcW w:w="935"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70</w:t>
            </w:r>
          </w:p>
        </w:tc>
        <w:tc>
          <w:tcPr>
            <w:tcW w:w="1254" w:type="dxa"/>
            <w:tcBorders>
              <w:top w:val="single" w:sz="4" w:space="0" w:color="000000"/>
              <w:left w:val="single" w:sz="4" w:space="0" w:color="000000"/>
              <w:bottom w:val="single" w:sz="4" w:space="0" w:color="000000"/>
              <w:right w:val="single" w:sz="4" w:space="0" w:color="000000"/>
            </w:tcBorders>
            <w:shd w:color="auto" w:fill="FF950E"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55</w:t>
            </w:r>
          </w:p>
        </w:tc>
      </w:tr>
      <w:tr>
        <w:trPr>
          <w:trHeight w:val="360"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IV (rosso)</w:t>
            </w:r>
          </w:p>
        </w:tc>
        <w:tc>
          <w:tcPr>
            <w:tcW w:w="515"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60</w:t>
            </w:r>
          </w:p>
        </w:tc>
        <w:tc>
          <w:tcPr>
            <w:tcW w:w="969"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50</w:t>
            </w:r>
          </w:p>
        </w:tc>
        <w:tc>
          <w:tcPr>
            <w:tcW w:w="854"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65</w:t>
            </w:r>
          </w:p>
        </w:tc>
        <w:tc>
          <w:tcPr>
            <w:tcW w:w="1033"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55</w:t>
            </w:r>
          </w:p>
        </w:tc>
        <w:tc>
          <w:tcPr>
            <w:tcW w:w="852"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62</w:t>
            </w:r>
          </w:p>
        </w:tc>
        <w:tc>
          <w:tcPr>
            <w:tcW w:w="1048"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52</w:t>
            </w:r>
          </w:p>
        </w:tc>
        <w:tc>
          <w:tcPr>
            <w:tcW w:w="935"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75</w:t>
            </w:r>
          </w:p>
        </w:tc>
        <w:tc>
          <w:tcPr>
            <w:tcW w:w="1254" w:type="dxa"/>
            <w:tcBorders>
              <w:top w:val="single" w:sz="4" w:space="0" w:color="000000"/>
              <w:left w:val="single" w:sz="4" w:space="0" w:color="000000"/>
              <w:bottom w:val="single" w:sz="4" w:space="0" w:color="000000"/>
              <w:right w:val="single" w:sz="4" w:space="0" w:color="000000"/>
            </w:tcBorders>
            <w:shd w:color="auto" w:fill="FF0000"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60</w:t>
            </w:r>
          </w:p>
        </w:tc>
      </w:tr>
      <w:tr>
        <w:trPr>
          <w:trHeight w:val="360"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V (violetto)</w:t>
            </w:r>
          </w:p>
        </w:tc>
        <w:tc>
          <w:tcPr>
            <w:tcW w:w="515"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b/>
                <w:bCs/>
                <w:color w:val="000000"/>
                <w:sz w:val="18"/>
                <w:szCs w:val="18"/>
              </w:rPr>
              <w:t>65</w:t>
            </w:r>
          </w:p>
        </w:tc>
        <w:tc>
          <w:tcPr>
            <w:tcW w:w="969"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b/>
                <w:bCs/>
                <w:color w:val="000000"/>
                <w:sz w:val="18"/>
                <w:szCs w:val="18"/>
              </w:rPr>
              <w:t>55</w:t>
            </w:r>
          </w:p>
        </w:tc>
        <w:tc>
          <w:tcPr>
            <w:tcW w:w="854"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color w:val="000000"/>
                <w:sz w:val="18"/>
                <w:szCs w:val="18"/>
              </w:rPr>
              <w:t>70</w:t>
            </w:r>
          </w:p>
        </w:tc>
        <w:tc>
          <w:tcPr>
            <w:tcW w:w="1033"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color w:val="000000"/>
                <w:sz w:val="18"/>
                <w:szCs w:val="18"/>
              </w:rPr>
              <w:t>60</w:t>
            </w:r>
          </w:p>
        </w:tc>
        <w:tc>
          <w:tcPr>
            <w:tcW w:w="852"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color w:val="000000"/>
                <w:sz w:val="18"/>
                <w:szCs w:val="18"/>
              </w:rPr>
              <w:t>67</w:t>
            </w:r>
          </w:p>
        </w:tc>
        <w:tc>
          <w:tcPr>
            <w:tcW w:w="1048"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color w:val="000000"/>
                <w:sz w:val="18"/>
                <w:szCs w:val="18"/>
              </w:rPr>
              <w:t>57</w:t>
            </w:r>
          </w:p>
        </w:tc>
        <w:tc>
          <w:tcPr>
            <w:tcW w:w="935"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color w:val="000000"/>
                <w:sz w:val="18"/>
                <w:szCs w:val="18"/>
              </w:rPr>
              <w:t>80</w:t>
            </w:r>
          </w:p>
        </w:tc>
        <w:tc>
          <w:tcPr>
            <w:tcW w:w="1254" w:type="dxa"/>
            <w:tcBorders>
              <w:top w:val="single" w:sz="4" w:space="0" w:color="000000"/>
              <w:left w:val="single" w:sz="4" w:space="0" w:color="000000"/>
              <w:bottom w:val="single" w:sz="4" w:space="0" w:color="000000"/>
              <w:right w:val="single" w:sz="4" w:space="0" w:color="000000"/>
            </w:tcBorders>
            <w:shd w:color="auto" w:fill="9966CC"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b/>
                <w:bCs/>
                <w:color w:val="000000"/>
                <w:sz w:val="18"/>
                <w:szCs w:val="18"/>
              </w:rPr>
              <w:t>65</w:t>
            </w:r>
          </w:p>
        </w:tc>
      </w:tr>
      <w:tr>
        <w:trPr>
          <w:trHeight w:val="360" w:hRule="atLeast"/>
          <w:cantSplit w:val="true"/>
        </w:trPr>
        <w:tc>
          <w:tcPr>
            <w:tcW w:w="1660"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387" w:leader="none"/>
                <w:tab w:val="left" w:pos="954" w:leader="none"/>
                <w:tab w:val="left" w:pos="1521" w:leader="none"/>
                <w:tab w:val="left" w:pos="2088" w:leader="none"/>
                <w:tab w:val="left" w:pos="2655" w:leader="none"/>
                <w:tab w:val="left" w:pos="3222" w:leader="none"/>
                <w:tab w:val="right" w:pos="8325" w:leader="none"/>
              </w:tabs>
              <w:snapToGrid w:val="false"/>
              <w:ind w:firstLine="5" w:left="-30"/>
              <w:jc w:val="center"/>
              <w:rPr/>
            </w:pPr>
            <w:r>
              <w:rPr>
                <w:b/>
                <w:bCs/>
                <w:i/>
                <w:iCs/>
                <w:color w:val="000000"/>
                <w:sz w:val="18"/>
                <w:szCs w:val="18"/>
              </w:rPr>
              <w:t>VI (blu)</w:t>
            </w:r>
          </w:p>
        </w:tc>
        <w:tc>
          <w:tcPr>
            <w:tcW w:w="515"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65</w:t>
            </w:r>
          </w:p>
        </w:tc>
        <w:tc>
          <w:tcPr>
            <w:tcW w:w="969"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201" w:leader="none"/>
                <w:tab w:val="left" w:pos="768" w:leader="none"/>
                <w:tab w:val="left" w:pos="1335" w:leader="none"/>
                <w:tab w:val="left" w:pos="1902" w:leader="none"/>
                <w:tab w:val="left" w:pos="2469" w:leader="none"/>
                <w:tab w:val="left" w:pos="3036" w:leader="none"/>
                <w:tab w:val="right" w:pos="8139" w:leader="none"/>
              </w:tabs>
              <w:snapToGrid w:val="false"/>
              <w:ind w:left="-61"/>
              <w:jc w:val="center"/>
              <w:rPr/>
            </w:pPr>
            <w:r>
              <w:rPr>
                <w:color w:val="000000"/>
                <w:sz w:val="18"/>
                <w:szCs w:val="18"/>
              </w:rPr>
              <w:t>65</w:t>
            </w:r>
          </w:p>
        </w:tc>
        <w:tc>
          <w:tcPr>
            <w:tcW w:w="854"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70</w:t>
            </w:r>
          </w:p>
        </w:tc>
        <w:tc>
          <w:tcPr>
            <w:tcW w:w="1033"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70</w:t>
            </w:r>
          </w:p>
        </w:tc>
        <w:tc>
          <w:tcPr>
            <w:tcW w:w="852"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70</w:t>
            </w:r>
          </w:p>
        </w:tc>
        <w:tc>
          <w:tcPr>
            <w:tcW w:w="1048"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70</w:t>
            </w:r>
          </w:p>
        </w:tc>
        <w:tc>
          <w:tcPr>
            <w:tcW w:w="935"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80</w:t>
            </w:r>
          </w:p>
        </w:tc>
        <w:tc>
          <w:tcPr>
            <w:tcW w:w="1254" w:type="dxa"/>
            <w:tcBorders>
              <w:top w:val="single" w:sz="4" w:space="0" w:color="000000"/>
              <w:left w:val="single" w:sz="4" w:space="0" w:color="000000"/>
              <w:bottom w:val="single" w:sz="4" w:space="0" w:color="000000"/>
              <w:right w:val="single" w:sz="4" w:space="0" w:color="000000"/>
            </w:tcBorders>
            <w:shd w:color="auto" w:fill="5B9BD5" w:val="clear"/>
            <w:tcMar>
              <w:top w:w="0" w:type="dxa"/>
              <w:bottom w:w="0" w:type="dxa"/>
            </w:tcMar>
            <w:vAlign w:val="center"/>
          </w:tcPr>
          <w:p>
            <w:pPr>
              <w:pStyle w:val="StandardWW"/>
              <w:tabs>
                <w:tab w:val="clear" w:pos="708"/>
                <w:tab w:val="left" w:pos="567" w:leader="none"/>
                <w:tab w:val="left" w:pos="1134" w:leader="none"/>
                <w:tab w:val="left" w:pos="1701" w:leader="none"/>
                <w:tab w:val="left" w:pos="2268" w:leader="none"/>
                <w:tab w:val="left" w:pos="2835" w:leader="none"/>
                <w:tab w:val="left" w:pos="3402" w:leader="none"/>
                <w:tab w:val="right" w:pos="8505" w:leader="none"/>
              </w:tabs>
              <w:snapToGrid w:val="false"/>
              <w:jc w:val="center"/>
              <w:rPr/>
            </w:pPr>
            <w:r>
              <w:rPr>
                <w:color w:val="000000"/>
                <w:sz w:val="18"/>
                <w:szCs w:val="18"/>
              </w:rPr>
              <w:t>75</w:t>
            </w:r>
          </w:p>
        </w:tc>
      </w:tr>
    </w:tbl>
    <w:p>
      <w:pPr>
        <w:pStyle w:val="StandardWW"/>
        <w:rPr/>
      </w:pPr>
      <w:r>
        <w:rPr>
          <w:sz w:val="18"/>
          <w:szCs w:val="18"/>
        </w:rPr>
        <w:t>Nota*: i valori di attenzione, se relativi ai tempi di riferimento, corrispondono ai valori limite assoluti di immissione, secondo l’art.6, comma 1, lett. b) del D.P.C.M. 14/11/1997 e comunque non si applicano nelle fasce di pertinenza delle infrastrutture stradali e ferroviarie.</w:t>
      </w:r>
    </w:p>
    <w:p>
      <w:pPr>
        <w:pStyle w:val="StandardWW"/>
        <w:rPr/>
      </w:pPr>
      <w:r>
        <w:rPr/>
      </w:r>
    </w:p>
    <w:p>
      <w:pPr>
        <w:pStyle w:val="StandardWW"/>
        <w:rPr/>
      </w:pPr>
      <w:r>
        <w:rPr/>
        <w:t>Ai sensi del DPR n.142/2004 i limiti nelle fasce di pertinenza stradali sono:</w:t>
      </w:r>
    </w:p>
    <w:p>
      <w:pPr>
        <w:pStyle w:val="Caption11"/>
        <w:rPr/>
      </w:pPr>
      <w:bookmarkStart w:id="15" w:name="_Toc171964381"/>
      <w:r>
        <w:rPr/>
        <w:t>Tabella 5.3 – Limiti e fasce pertinenza stradali DPR 142/2004</w:t>
      </w:r>
      <w:bookmarkEnd w:id="15"/>
    </w:p>
    <w:tbl>
      <w:tblPr>
        <w:tblW w:w="9119" w:type="dxa"/>
        <w:jc w:val="left"/>
        <w:tblInd w:w="-109" w:type="dxa"/>
        <w:tblLayout w:type="fixed"/>
        <w:tblCellMar>
          <w:top w:w="0" w:type="dxa"/>
          <w:left w:w="108" w:type="dxa"/>
          <w:bottom w:w="0" w:type="dxa"/>
          <w:right w:w="108" w:type="dxa"/>
        </w:tblCellMar>
        <w:tblLook w:firstRow="0" w:noVBand="0" w:lastRow="0" w:firstColumn="0" w:lastColumn="0" w:noHBand="0" w:val="0000"/>
      </w:tblPr>
      <w:tblGrid>
        <w:gridCol w:w="2190"/>
        <w:gridCol w:w="1496"/>
        <w:gridCol w:w="1252"/>
        <w:gridCol w:w="900"/>
        <w:gridCol w:w="1159"/>
        <w:gridCol w:w="883"/>
        <w:gridCol w:w="1238"/>
      </w:tblGrid>
      <w:tr>
        <w:trPr>
          <w:tblHeader w:val="true"/>
          <w:trHeight w:val="277" w:hRule="atLeast"/>
          <w:cantSplit w:val="true"/>
        </w:trPr>
        <w:tc>
          <w:tcPr>
            <w:tcW w:w="2190" w:type="dxa"/>
            <w:vMerge w:val="restart"/>
            <w:tcBorders>
              <w:top w:val="single" w:sz="4" w:space="0" w:color="000000"/>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jc w:val="center"/>
              <w:rPr/>
            </w:pPr>
            <w:r>
              <w:rPr>
                <w:b/>
                <w:bCs/>
                <w:i/>
                <w:iCs/>
                <w:sz w:val="18"/>
                <w:szCs w:val="18"/>
              </w:rPr>
              <w:t>Tipo di strada</w:t>
            </w:r>
          </w:p>
          <w:p>
            <w:pPr>
              <w:pStyle w:val="StandardWW"/>
              <w:tabs>
                <w:tab w:val="clear" w:pos="708"/>
                <w:tab w:val="left" w:pos="0" w:leader="none"/>
              </w:tabs>
              <w:ind w:right="-34"/>
              <w:jc w:val="center"/>
              <w:rPr/>
            </w:pPr>
            <w:r>
              <w:rPr>
                <w:b/>
                <w:bCs/>
                <w:i/>
                <w:iCs/>
                <w:sz w:val="18"/>
                <w:szCs w:val="18"/>
              </w:rPr>
              <w:t>[codice della Strada]</w:t>
            </w:r>
          </w:p>
        </w:tc>
        <w:tc>
          <w:tcPr>
            <w:tcW w:w="1496" w:type="dxa"/>
            <w:vMerge w:val="restart"/>
            <w:tcBorders>
              <w:top w:val="single" w:sz="4" w:space="0" w:color="000000"/>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jc w:val="center"/>
              <w:rPr/>
            </w:pPr>
            <w:r>
              <w:rPr>
                <w:b/>
                <w:bCs/>
                <w:i/>
                <w:iCs/>
                <w:sz w:val="18"/>
                <w:szCs w:val="18"/>
              </w:rPr>
              <w:t>Sottotipi ai fini acustici</w:t>
            </w:r>
          </w:p>
          <w:p>
            <w:pPr>
              <w:pStyle w:val="StandardWW"/>
              <w:tabs>
                <w:tab w:val="clear" w:pos="708"/>
                <w:tab w:val="left" w:pos="0" w:leader="none"/>
              </w:tabs>
              <w:snapToGrid w:val="false"/>
              <w:ind w:right="-34"/>
              <w:jc w:val="center"/>
              <w:rPr/>
            </w:pPr>
            <w:r>
              <w:rPr>
                <w:b/>
                <w:bCs/>
                <w:i/>
                <w:iCs/>
                <w:sz w:val="18"/>
                <w:szCs w:val="18"/>
              </w:rPr>
              <w:t>(CNR 1980 e direttive PUT)</w:t>
            </w:r>
          </w:p>
        </w:tc>
        <w:tc>
          <w:tcPr>
            <w:tcW w:w="1252" w:type="dxa"/>
            <w:vMerge w:val="restart"/>
            <w:tcBorders>
              <w:top w:val="single" w:sz="4" w:space="0" w:color="000000"/>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jc w:val="center"/>
              <w:rPr/>
            </w:pPr>
            <w:r>
              <w:rPr>
                <w:b/>
                <w:bCs/>
                <w:i/>
                <w:iCs/>
                <w:sz w:val="18"/>
                <w:szCs w:val="18"/>
              </w:rPr>
              <w:t>Ampiezza fascia di pertinenza acustica</w:t>
            </w:r>
          </w:p>
          <w:p>
            <w:pPr>
              <w:pStyle w:val="StandardWW"/>
              <w:tabs>
                <w:tab w:val="clear" w:pos="708"/>
                <w:tab w:val="left" w:pos="0" w:leader="none"/>
              </w:tabs>
              <w:ind w:right="-34"/>
              <w:jc w:val="center"/>
              <w:rPr/>
            </w:pPr>
            <w:r>
              <w:rPr>
                <w:b/>
                <w:bCs/>
                <w:i/>
                <w:iCs/>
                <w:sz w:val="18"/>
                <w:szCs w:val="18"/>
              </w:rPr>
              <w:t>[m]</w:t>
            </w:r>
          </w:p>
        </w:tc>
        <w:tc>
          <w:tcPr>
            <w:tcW w:w="4180" w:type="dxa"/>
            <w:gridSpan w:val="4"/>
            <w:tcBorders>
              <w:top w:val="single" w:sz="4" w:space="0" w:color="000000"/>
              <w:left w:val="single" w:sz="4" w:space="0" w:color="000000"/>
              <w:bottom w:val="single" w:sz="4" w:space="0" w:color="000000"/>
              <w:right w:val="single" w:sz="4" w:space="0" w:color="000000"/>
            </w:tcBorders>
            <w:shd w:color="auto" w:fill="CCCCCC" w:val="clear"/>
            <w:vAlign w:val="center"/>
          </w:tcPr>
          <w:p>
            <w:pPr>
              <w:pStyle w:val="StandardWW"/>
              <w:tabs>
                <w:tab w:val="clear" w:pos="708"/>
                <w:tab w:val="left" w:pos="0" w:leader="none"/>
              </w:tabs>
              <w:snapToGrid w:val="false"/>
              <w:jc w:val="center"/>
              <w:rPr/>
            </w:pPr>
            <w:r>
              <w:rPr>
                <w:b/>
                <w:bCs/>
                <w:sz w:val="18"/>
                <w:szCs w:val="18"/>
              </w:rPr>
              <w:t>Tipologia Ricettori</w:t>
            </w:r>
          </w:p>
        </w:tc>
      </w:tr>
      <w:tr>
        <w:trPr>
          <w:tblHeader w:val="true"/>
          <w:trHeight w:val="276" w:hRule="atLeast"/>
          <w:cantSplit w:val="true"/>
        </w:trPr>
        <w:tc>
          <w:tcPr>
            <w:tcW w:w="2190"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496"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252"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2059" w:type="dxa"/>
            <w:gridSpan w:val="2"/>
            <w:tcBorders>
              <w:top w:val="single" w:sz="4" w:space="0" w:color="000000"/>
              <w:left w:val="single" w:sz="4" w:space="0" w:color="000000"/>
              <w:bottom w:val="single" w:sz="4" w:space="0" w:color="000000"/>
            </w:tcBorders>
            <w:shd w:color="auto" w:fill="CCCCCC" w:val="clear"/>
            <w:vAlign w:val="center"/>
          </w:tcPr>
          <w:p>
            <w:pPr>
              <w:pStyle w:val="StandardWW"/>
              <w:tabs>
                <w:tab w:val="clear" w:pos="708"/>
                <w:tab w:val="left" w:pos="0" w:leader="none"/>
              </w:tabs>
              <w:snapToGrid w:val="false"/>
              <w:jc w:val="center"/>
              <w:rPr/>
            </w:pPr>
            <w:r>
              <w:rPr>
                <w:b/>
                <w:bCs/>
                <w:sz w:val="18"/>
                <w:szCs w:val="18"/>
              </w:rPr>
              <w:t>Scuole, ospedali, case di cura e riposo</w:t>
            </w:r>
          </w:p>
        </w:tc>
        <w:tc>
          <w:tcPr>
            <w:tcW w:w="2121" w:type="dxa"/>
            <w:gridSpan w:val="2"/>
            <w:tcBorders>
              <w:top w:val="single" w:sz="4" w:space="0" w:color="000000"/>
              <w:left w:val="single" w:sz="4" w:space="0" w:color="000000"/>
              <w:bottom w:val="single" w:sz="4" w:space="0" w:color="000000"/>
              <w:right w:val="single" w:sz="4" w:space="0" w:color="000000"/>
            </w:tcBorders>
            <w:shd w:color="auto" w:fill="CCCCCC" w:val="clear"/>
            <w:vAlign w:val="center"/>
          </w:tcPr>
          <w:p>
            <w:pPr>
              <w:pStyle w:val="StandardWW"/>
              <w:tabs>
                <w:tab w:val="clear" w:pos="708"/>
                <w:tab w:val="left" w:pos="0" w:leader="none"/>
              </w:tabs>
              <w:snapToGrid w:val="false"/>
              <w:jc w:val="center"/>
              <w:rPr/>
            </w:pPr>
            <w:r>
              <w:rPr>
                <w:b/>
                <w:bCs/>
                <w:sz w:val="18"/>
                <w:szCs w:val="18"/>
              </w:rPr>
              <w:t>Altri ricettori</w:t>
            </w:r>
          </w:p>
        </w:tc>
      </w:tr>
      <w:tr>
        <w:trPr>
          <w:tblHeader w:val="true"/>
          <w:trHeight w:val="276" w:hRule="atLeast"/>
          <w:cantSplit w:val="true"/>
        </w:trPr>
        <w:tc>
          <w:tcPr>
            <w:tcW w:w="2190"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496"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252"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900" w:type="dxa"/>
            <w:tcBorders>
              <w:top w:val="single" w:sz="4" w:space="0" w:color="000000"/>
              <w:left w:val="single" w:sz="4" w:space="0" w:color="000000"/>
              <w:bottom w:val="single" w:sz="4" w:space="0" w:color="000000"/>
            </w:tcBorders>
            <w:shd w:color="auto" w:fill="E6E6E6" w:val="clear"/>
            <w:vAlign w:val="center"/>
          </w:tcPr>
          <w:p>
            <w:pPr>
              <w:pStyle w:val="StandardWW"/>
              <w:tabs>
                <w:tab w:val="clear" w:pos="708"/>
                <w:tab w:val="left" w:pos="0" w:leader="none"/>
              </w:tabs>
              <w:snapToGrid w:val="false"/>
              <w:jc w:val="center"/>
              <w:rPr/>
            </w:pPr>
            <w:r>
              <w:rPr>
                <w:b/>
                <w:bCs/>
                <w:sz w:val="18"/>
                <w:szCs w:val="18"/>
              </w:rPr>
              <w:t>Limite Diurno</w:t>
            </w:r>
          </w:p>
          <w:p>
            <w:pPr>
              <w:pStyle w:val="StandardWW"/>
              <w:tabs>
                <w:tab w:val="clear" w:pos="708"/>
                <w:tab w:val="left" w:pos="0" w:leader="none"/>
              </w:tabs>
              <w:jc w:val="center"/>
              <w:rPr/>
            </w:pPr>
            <w:r>
              <w:rPr>
                <w:b/>
                <w:bCs/>
                <w:sz w:val="18"/>
                <w:szCs w:val="18"/>
              </w:rPr>
              <w:t>dB(A)</w:t>
            </w:r>
          </w:p>
        </w:tc>
        <w:tc>
          <w:tcPr>
            <w:tcW w:w="1159" w:type="dxa"/>
            <w:tcBorders>
              <w:top w:val="single" w:sz="4" w:space="0" w:color="000000"/>
              <w:left w:val="single" w:sz="4" w:space="0" w:color="000000"/>
              <w:bottom w:val="single" w:sz="4" w:space="0" w:color="000000"/>
            </w:tcBorders>
            <w:shd w:color="auto" w:fill="E6E6E6" w:val="clear"/>
            <w:vAlign w:val="center"/>
          </w:tcPr>
          <w:p>
            <w:pPr>
              <w:pStyle w:val="StandardWW"/>
              <w:tabs>
                <w:tab w:val="clear" w:pos="708"/>
                <w:tab w:val="left" w:pos="0" w:leader="none"/>
              </w:tabs>
              <w:snapToGrid w:val="false"/>
              <w:jc w:val="center"/>
              <w:rPr/>
            </w:pPr>
            <w:r>
              <w:rPr>
                <w:b/>
                <w:bCs/>
                <w:sz w:val="18"/>
                <w:szCs w:val="18"/>
              </w:rPr>
              <w:t>Limite Notturno</w:t>
            </w:r>
          </w:p>
          <w:p>
            <w:pPr>
              <w:pStyle w:val="StandardWW"/>
              <w:tabs>
                <w:tab w:val="clear" w:pos="708"/>
                <w:tab w:val="left" w:pos="0" w:leader="none"/>
              </w:tabs>
              <w:jc w:val="center"/>
              <w:rPr/>
            </w:pPr>
            <w:r>
              <w:rPr>
                <w:b/>
                <w:bCs/>
                <w:sz w:val="18"/>
                <w:szCs w:val="18"/>
              </w:rPr>
              <w:t>dB(A)</w:t>
            </w:r>
          </w:p>
        </w:tc>
        <w:tc>
          <w:tcPr>
            <w:tcW w:w="883" w:type="dxa"/>
            <w:tcBorders>
              <w:top w:val="single" w:sz="4" w:space="0" w:color="000000"/>
              <w:left w:val="single" w:sz="4" w:space="0" w:color="000000"/>
              <w:bottom w:val="single" w:sz="4" w:space="0" w:color="000000"/>
            </w:tcBorders>
            <w:shd w:color="auto" w:fill="E6E6E6" w:val="clear"/>
            <w:vAlign w:val="center"/>
          </w:tcPr>
          <w:p>
            <w:pPr>
              <w:pStyle w:val="StandardWW"/>
              <w:tabs>
                <w:tab w:val="clear" w:pos="708"/>
                <w:tab w:val="left" w:pos="0" w:leader="none"/>
              </w:tabs>
              <w:snapToGrid w:val="false"/>
              <w:jc w:val="center"/>
              <w:rPr/>
            </w:pPr>
            <w:r>
              <w:rPr>
                <w:b/>
                <w:bCs/>
                <w:sz w:val="18"/>
                <w:szCs w:val="18"/>
              </w:rPr>
              <w:t>Limite Diurno</w:t>
            </w:r>
          </w:p>
          <w:p>
            <w:pPr>
              <w:pStyle w:val="StandardWW"/>
              <w:tabs>
                <w:tab w:val="clear" w:pos="708"/>
                <w:tab w:val="left" w:pos="0" w:leader="none"/>
              </w:tabs>
              <w:jc w:val="center"/>
              <w:rPr/>
            </w:pPr>
            <w:r>
              <w:rPr>
                <w:b/>
                <w:bCs/>
                <w:sz w:val="18"/>
                <w:szCs w:val="18"/>
              </w:rPr>
              <w:t>dB(A)</w:t>
            </w:r>
          </w:p>
        </w:tc>
        <w:tc>
          <w:tcPr>
            <w:tcW w:w="1238" w:type="dxa"/>
            <w:tcBorders>
              <w:top w:val="single" w:sz="4" w:space="0" w:color="000000"/>
              <w:left w:val="single" w:sz="4" w:space="0" w:color="000000"/>
              <w:bottom w:val="single" w:sz="4" w:space="0" w:color="000000"/>
              <w:right w:val="single" w:sz="4" w:space="0" w:color="000000"/>
            </w:tcBorders>
            <w:shd w:color="auto" w:fill="E6E6E6" w:val="clear"/>
            <w:vAlign w:val="center"/>
          </w:tcPr>
          <w:p>
            <w:pPr>
              <w:pStyle w:val="StandardWW"/>
              <w:tabs>
                <w:tab w:val="clear" w:pos="708"/>
                <w:tab w:val="left" w:pos="0" w:leader="none"/>
              </w:tabs>
              <w:snapToGrid w:val="false"/>
              <w:jc w:val="center"/>
              <w:rPr/>
            </w:pPr>
            <w:r>
              <w:rPr>
                <w:b/>
                <w:bCs/>
                <w:sz w:val="18"/>
                <w:szCs w:val="18"/>
              </w:rPr>
              <w:t>Limite Notturno</w:t>
            </w:r>
          </w:p>
          <w:p>
            <w:pPr>
              <w:pStyle w:val="StandardWW"/>
              <w:tabs>
                <w:tab w:val="clear" w:pos="708"/>
                <w:tab w:val="left" w:pos="0" w:leader="none"/>
              </w:tabs>
              <w:jc w:val="center"/>
              <w:rPr/>
            </w:pPr>
            <w:r>
              <w:rPr>
                <w:b/>
                <w:bCs/>
                <w:sz w:val="18"/>
                <w:szCs w:val="18"/>
              </w:rPr>
              <w:t>dB(A)</w:t>
            </w:r>
          </w:p>
        </w:tc>
      </w:tr>
      <w:tr>
        <w:trPr>
          <w:trHeight w:val="283" w:hRule="atLeast"/>
          <w:cantSplit w:val="true"/>
        </w:trPr>
        <w:tc>
          <w:tcPr>
            <w:tcW w:w="2190" w:type="dxa"/>
            <w:vMerge w:val="restart"/>
            <w:tcBorders>
              <w:top w:val="single" w:sz="4" w:space="0" w:color="000000"/>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rPr/>
            </w:pPr>
            <w:r>
              <w:rPr>
                <w:b/>
                <w:bCs/>
                <w:i/>
                <w:iCs/>
                <w:sz w:val="18"/>
                <w:szCs w:val="18"/>
              </w:rPr>
              <w:t>A – autostrada</w:t>
            </w:r>
          </w:p>
        </w:tc>
        <w:tc>
          <w:tcPr>
            <w:tcW w:w="1496"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rPr>
                <w:sz w:val="18"/>
                <w:szCs w:val="18"/>
              </w:rPr>
            </w:pPr>
            <w:r>
              <w:rPr>
                <w:sz w:val="18"/>
                <w:szCs w:val="18"/>
              </w:rPr>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100</w:t>
            </w:r>
          </w:p>
          <w:p>
            <w:pPr>
              <w:pStyle w:val="StandardWW"/>
              <w:tabs>
                <w:tab w:val="clear" w:pos="708"/>
                <w:tab w:val="left" w:pos="0" w:leader="none"/>
              </w:tabs>
              <w:snapToGrid w:val="false"/>
              <w:ind w:right="-34"/>
              <w:jc w:val="center"/>
              <w:rPr/>
            </w:pPr>
            <w:r>
              <w:rPr>
                <w:sz w:val="18"/>
                <w:szCs w:val="18"/>
              </w:rPr>
              <w:t>(fascia A)</w:t>
            </w:r>
          </w:p>
        </w:tc>
        <w:tc>
          <w:tcPr>
            <w:tcW w:w="900"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tc>
        <w:tc>
          <w:tcPr>
            <w:tcW w:w="1159"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40</w:t>
            </w:r>
          </w:p>
        </w:tc>
        <w:tc>
          <w:tcPr>
            <w:tcW w:w="883"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70</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60</w:t>
            </w:r>
          </w:p>
        </w:tc>
      </w:tr>
      <w:tr>
        <w:trPr>
          <w:trHeight w:val="276" w:hRule="atLeast"/>
          <w:cantSplit w:val="true"/>
        </w:trPr>
        <w:tc>
          <w:tcPr>
            <w:tcW w:w="2190"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496"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150</w:t>
            </w:r>
          </w:p>
          <w:p>
            <w:pPr>
              <w:pStyle w:val="StandardWW"/>
              <w:tabs>
                <w:tab w:val="clear" w:pos="708"/>
                <w:tab w:val="left" w:pos="0" w:leader="none"/>
              </w:tabs>
              <w:snapToGrid w:val="false"/>
              <w:ind w:right="-34"/>
              <w:jc w:val="center"/>
              <w:rPr/>
            </w:pPr>
            <w:r>
              <w:rPr>
                <w:sz w:val="18"/>
                <w:szCs w:val="18"/>
              </w:rPr>
              <w:t>(fascia B)</w:t>
            </w:r>
          </w:p>
        </w:tc>
        <w:tc>
          <w:tcPr>
            <w:tcW w:w="900"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1159"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883"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65</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55</w:t>
            </w:r>
          </w:p>
        </w:tc>
      </w:tr>
      <w:tr>
        <w:trPr>
          <w:trHeight w:val="276" w:hRule="atLeast"/>
          <w:cantSplit w:val="true"/>
        </w:trPr>
        <w:tc>
          <w:tcPr>
            <w:tcW w:w="2190" w:type="dxa"/>
            <w:vMerge w:val="restart"/>
            <w:tcBorders>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rPr/>
            </w:pPr>
            <w:r>
              <w:rPr>
                <w:b/>
                <w:bCs/>
                <w:i/>
                <w:iCs/>
                <w:sz w:val="18"/>
                <w:szCs w:val="18"/>
              </w:rPr>
              <w:t>B – extraurbana principale</w:t>
            </w:r>
          </w:p>
        </w:tc>
        <w:tc>
          <w:tcPr>
            <w:tcW w:w="1496" w:type="dxa"/>
            <w:vMerge w:val="restart"/>
            <w:tcBorders>
              <w:left w:val="single" w:sz="4" w:space="0" w:color="000000"/>
              <w:bottom w:val="single" w:sz="4" w:space="0" w:color="000000"/>
            </w:tcBorders>
            <w:vAlign w:val="center"/>
          </w:tcPr>
          <w:p>
            <w:pPr>
              <w:pStyle w:val="StandardWW"/>
              <w:tabs>
                <w:tab w:val="clear" w:pos="708"/>
                <w:tab w:val="left" w:pos="0" w:leader="none"/>
              </w:tabs>
              <w:snapToGrid w:val="false"/>
              <w:ind w:right="-34"/>
              <w:rPr>
                <w:sz w:val="18"/>
                <w:szCs w:val="18"/>
              </w:rPr>
            </w:pPr>
            <w:r>
              <w:rPr>
                <w:sz w:val="18"/>
                <w:szCs w:val="18"/>
              </w:rPr>
            </w:r>
          </w:p>
        </w:tc>
        <w:tc>
          <w:tcPr>
            <w:tcW w:w="1252"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100</w:t>
            </w:r>
          </w:p>
          <w:p>
            <w:pPr>
              <w:pStyle w:val="StandardWW"/>
              <w:tabs>
                <w:tab w:val="clear" w:pos="708"/>
                <w:tab w:val="left" w:pos="0" w:leader="none"/>
              </w:tabs>
              <w:snapToGrid w:val="false"/>
              <w:ind w:right="-34"/>
              <w:jc w:val="center"/>
              <w:rPr/>
            </w:pPr>
            <w:r>
              <w:rPr>
                <w:sz w:val="18"/>
                <w:szCs w:val="18"/>
              </w:rPr>
              <w:t>(fascia A)</w:t>
            </w:r>
          </w:p>
        </w:tc>
        <w:tc>
          <w:tcPr>
            <w:tcW w:w="900" w:type="dxa"/>
            <w:vMerge w:val="restart"/>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tc>
        <w:tc>
          <w:tcPr>
            <w:tcW w:w="1159" w:type="dxa"/>
            <w:vMerge w:val="restart"/>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40</w:t>
            </w:r>
          </w:p>
        </w:tc>
        <w:tc>
          <w:tcPr>
            <w:tcW w:w="883"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70</w:t>
            </w:r>
          </w:p>
        </w:tc>
        <w:tc>
          <w:tcPr>
            <w:tcW w:w="1238" w:type="dxa"/>
            <w:tcBorders>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60</w:t>
            </w:r>
          </w:p>
        </w:tc>
      </w:tr>
      <w:tr>
        <w:trPr>
          <w:trHeight w:val="276" w:hRule="atLeast"/>
          <w:cantSplit w:val="true"/>
        </w:trPr>
        <w:tc>
          <w:tcPr>
            <w:tcW w:w="2190" w:type="dxa"/>
            <w:vMerge w:val="continue"/>
            <w:tcBorders>
              <w:left w:val="single" w:sz="4" w:space="0" w:color="000000"/>
              <w:bottom w:val="single" w:sz="4" w:space="0" w:color="000000"/>
            </w:tcBorders>
            <w:shd w:color="auto" w:fill="B3B3B3" w:val="clear"/>
            <w:vAlign w:val="center"/>
          </w:tcPr>
          <w:p>
            <w:pPr>
              <w:pStyle w:val="Normal"/>
              <w:rPr/>
            </w:pPr>
            <w:r>
              <w:rPr/>
            </w:r>
          </w:p>
        </w:tc>
        <w:tc>
          <w:tcPr>
            <w:tcW w:w="1496" w:type="dxa"/>
            <w:vMerge w:val="continue"/>
            <w:tcBorders>
              <w:left w:val="single" w:sz="4" w:space="0" w:color="000000"/>
              <w:bottom w:val="single" w:sz="4" w:space="0" w:color="000000"/>
            </w:tcBorders>
            <w:vAlign w:val="center"/>
          </w:tcPr>
          <w:p>
            <w:pPr>
              <w:pStyle w:val="Normal"/>
              <w:rPr/>
            </w:pPr>
            <w:r>
              <w:rPr/>
            </w:r>
          </w:p>
        </w:tc>
        <w:tc>
          <w:tcPr>
            <w:tcW w:w="1252"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150</w:t>
            </w:r>
          </w:p>
          <w:p>
            <w:pPr>
              <w:pStyle w:val="StandardWW"/>
              <w:tabs>
                <w:tab w:val="clear" w:pos="708"/>
                <w:tab w:val="left" w:pos="0" w:leader="none"/>
              </w:tabs>
              <w:snapToGrid w:val="false"/>
              <w:ind w:right="-34"/>
              <w:jc w:val="center"/>
              <w:rPr/>
            </w:pPr>
            <w:r>
              <w:rPr>
                <w:sz w:val="18"/>
                <w:szCs w:val="18"/>
              </w:rPr>
              <w:t>(fascia B)</w:t>
            </w:r>
          </w:p>
        </w:tc>
        <w:tc>
          <w:tcPr>
            <w:tcW w:w="900" w:type="dxa"/>
            <w:vMerge w:val="continue"/>
            <w:tcBorders>
              <w:left w:val="single" w:sz="4" w:space="0" w:color="000000"/>
              <w:bottom w:val="single" w:sz="4" w:space="0" w:color="000000"/>
            </w:tcBorders>
            <w:vAlign w:val="center"/>
          </w:tcPr>
          <w:p>
            <w:pPr>
              <w:pStyle w:val="Normal"/>
              <w:rPr/>
            </w:pPr>
            <w:r>
              <w:rPr/>
            </w:r>
          </w:p>
        </w:tc>
        <w:tc>
          <w:tcPr>
            <w:tcW w:w="1159" w:type="dxa"/>
            <w:vMerge w:val="continue"/>
            <w:tcBorders>
              <w:left w:val="single" w:sz="4" w:space="0" w:color="000000"/>
              <w:bottom w:val="single" w:sz="4" w:space="0" w:color="000000"/>
            </w:tcBorders>
            <w:vAlign w:val="center"/>
          </w:tcPr>
          <w:p>
            <w:pPr>
              <w:pStyle w:val="Normal"/>
              <w:rPr/>
            </w:pPr>
            <w:r>
              <w:rPr/>
            </w:r>
          </w:p>
        </w:tc>
        <w:tc>
          <w:tcPr>
            <w:tcW w:w="883"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65</w:t>
            </w:r>
          </w:p>
        </w:tc>
        <w:tc>
          <w:tcPr>
            <w:tcW w:w="1238" w:type="dxa"/>
            <w:tcBorders>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55</w:t>
            </w:r>
          </w:p>
        </w:tc>
      </w:tr>
      <w:tr>
        <w:trPr>
          <w:trHeight w:val="135" w:hRule="atLeast"/>
          <w:cantSplit w:val="true"/>
        </w:trPr>
        <w:tc>
          <w:tcPr>
            <w:tcW w:w="2190" w:type="dxa"/>
            <w:vMerge w:val="restart"/>
            <w:tcBorders>
              <w:top w:val="single" w:sz="4" w:space="0" w:color="000000"/>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rPr/>
            </w:pPr>
            <w:r>
              <w:rPr>
                <w:b/>
                <w:bCs/>
                <w:i/>
                <w:iCs/>
                <w:sz w:val="18"/>
                <w:szCs w:val="18"/>
              </w:rPr>
              <w:t>C – extraurbana secondaria</w:t>
            </w:r>
          </w:p>
          <w:p>
            <w:pPr>
              <w:pStyle w:val="StandardWW"/>
              <w:tabs>
                <w:tab w:val="clear" w:pos="708"/>
                <w:tab w:val="left" w:pos="0" w:leader="none"/>
              </w:tabs>
              <w:snapToGrid w:val="false"/>
              <w:ind w:right="-34"/>
              <w:rPr>
                <w:b/>
                <w:bCs/>
                <w:i/>
                <w:i/>
                <w:iCs/>
                <w:sz w:val="18"/>
                <w:szCs w:val="18"/>
              </w:rPr>
            </w:pPr>
            <w:r>
              <w:rPr>
                <w:b/>
                <w:bCs/>
                <w:i/>
                <w:iCs/>
                <w:sz w:val="18"/>
                <w:szCs w:val="18"/>
              </w:rPr>
            </w:r>
          </w:p>
        </w:tc>
        <w:tc>
          <w:tcPr>
            <w:tcW w:w="1496"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b/>
                <w:bCs/>
                <w:sz w:val="18"/>
                <w:szCs w:val="18"/>
              </w:rPr>
              <w:t>Ca</w:t>
            </w:r>
          </w:p>
          <w:p>
            <w:pPr>
              <w:pStyle w:val="StandardWW"/>
              <w:tabs>
                <w:tab w:val="clear" w:pos="708"/>
                <w:tab w:val="left" w:pos="0" w:leader="none"/>
              </w:tabs>
              <w:snapToGrid w:val="false"/>
              <w:ind w:right="-34"/>
              <w:jc w:val="center"/>
              <w:rPr/>
            </w:pPr>
            <w:r>
              <w:rPr>
                <w:sz w:val="18"/>
                <w:szCs w:val="18"/>
              </w:rPr>
              <w:t>(strade a carreggiate separate e tipo IV CNR 1980)</w:t>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100</w:t>
            </w:r>
          </w:p>
          <w:p>
            <w:pPr>
              <w:pStyle w:val="StandardWW"/>
              <w:tabs>
                <w:tab w:val="clear" w:pos="708"/>
                <w:tab w:val="left" w:pos="0" w:leader="none"/>
              </w:tabs>
              <w:snapToGrid w:val="false"/>
              <w:ind w:right="-34"/>
              <w:jc w:val="center"/>
              <w:rPr/>
            </w:pPr>
            <w:r>
              <w:rPr>
                <w:sz w:val="18"/>
                <w:szCs w:val="18"/>
              </w:rPr>
              <w:t>(fascia A)</w:t>
            </w:r>
          </w:p>
        </w:tc>
        <w:tc>
          <w:tcPr>
            <w:tcW w:w="900"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tc>
        <w:tc>
          <w:tcPr>
            <w:tcW w:w="1159"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40</w:t>
            </w:r>
          </w:p>
        </w:tc>
        <w:tc>
          <w:tcPr>
            <w:tcW w:w="883"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70</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60</w:t>
            </w:r>
          </w:p>
        </w:tc>
      </w:tr>
      <w:tr>
        <w:trPr>
          <w:trHeight w:val="135" w:hRule="atLeast"/>
          <w:cantSplit w:val="true"/>
        </w:trPr>
        <w:tc>
          <w:tcPr>
            <w:tcW w:w="2190"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496"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150</w:t>
            </w:r>
          </w:p>
          <w:p>
            <w:pPr>
              <w:pStyle w:val="StandardWW"/>
              <w:tabs>
                <w:tab w:val="clear" w:pos="708"/>
                <w:tab w:val="left" w:pos="0" w:leader="none"/>
              </w:tabs>
              <w:snapToGrid w:val="false"/>
              <w:ind w:right="-34"/>
              <w:jc w:val="center"/>
              <w:rPr/>
            </w:pPr>
            <w:r>
              <w:rPr>
                <w:sz w:val="18"/>
                <w:szCs w:val="18"/>
              </w:rPr>
              <w:t>(fascia B)</w:t>
            </w:r>
          </w:p>
        </w:tc>
        <w:tc>
          <w:tcPr>
            <w:tcW w:w="900"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tc>
        <w:tc>
          <w:tcPr>
            <w:tcW w:w="1159"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40</w:t>
            </w:r>
          </w:p>
        </w:tc>
        <w:tc>
          <w:tcPr>
            <w:tcW w:w="883"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65</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55</w:t>
            </w:r>
          </w:p>
        </w:tc>
      </w:tr>
      <w:tr>
        <w:trPr>
          <w:trHeight w:val="567" w:hRule="atLeast"/>
          <w:cantSplit w:val="true"/>
        </w:trPr>
        <w:tc>
          <w:tcPr>
            <w:tcW w:w="2190"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496"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b/>
                <w:bCs/>
                <w:sz w:val="18"/>
                <w:szCs w:val="18"/>
              </w:rPr>
              <w:t>Cb</w:t>
            </w:r>
          </w:p>
          <w:p>
            <w:pPr>
              <w:pStyle w:val="StandardWW"/>
              <w:tabs>
                <w:tab w:val="clear" w:pos="708"/>
                <w:tab w:val="left" w:pos="0" w:leader="none"/>
              </w:tabs>
              <w:snapToGrid w:val="false"/>
              <w:ind w:right="-34"/>
              <w:jc w:val="center"/>
              <w:rPr/>
            </w:pPr>
            <w:r>
              <w:rPr>
                <w:sz w:val="18"/>
                <w:szCs w:val="18"/>
              </w:rPr>
              <w:t>(tutte la altre strade extraurbane secondarie)</w:t>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100</w:t>
            </w:r>
          </w:p>
          <w:p>
            <w:pPr>
              <w:pStyle w:val="StandardWW"/>
              <w:tabs>
                <w:tab w:val="clear" w:pos="708"/>
                <w:tab w:val="left" w:pos="0" w:leader="none"/>
              </w:tabs>
              <w:snapToGrid w:val="false"/>
              <w:ind w:right="-34"/>
              <w:jc w:val="center"/>
              <w:rPr/>
            </w:pPr>
            <w:r>
              <w:rPr>
                <w:sz w:val="18"/>
                <w:szCs w:val="18"/>
              </w:rPr>
              <w:t>(fascia A)</w:t>
            </w:r>
          </w:p>
        </w:tc>
        <w:tc>
          <w:tcPr>
            <w:tcW w:w="900"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tc>
        <w:tc>
          <w:tcPr>
            <w:tcW w:w="1159" w:type="dxa"/>
            <w:vMerge w:val="restart"/>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40</w:t>
            </w:r>
          </w:p>
        </w:tc>
        <w:tc>
          <w:tcPr>
            <w:tcW w:w="883"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70</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60</w:t>
            </w:r>
          </w:p>
        </w:tc>
      </w:tr>
      <w:tr>
        <w:trPr>
          <w:trHeight w:val="276" w:hRule="atLeast"/>
          <w:cantSplit w:val="true"/>
        </w:trPr>
        <w:tc>
          <w:tcPr>
            <w:tcW w:w="2190" w:type="dxa"/>
            <w:vMerge w:val="continue"/>
            <w:tcBorders>
              <w:top w:val="single" w:sz="4" w:space="0" w:color="000000"/>
              <w:left w:val="single" w:sz="4" w:space="0" w:color="000000"/>
              <w:bottom w:val="single" w:sz="4" w:space="0" w:color="000000"/>
            </w:tcBorders>
            <w:shd w:color="auto" w:fill="B3B3B3" w:val="clear"/>
            <w:vAlign w:val="center"/>
          </w:tcPr>
          <w:p>
            <w:pPr>
              <w:pStyle w:val="Normal"/>
              <w:rPr/>
            </w:pPr>
            <w:r>
              <w:rPr/>
            </w:r>
          </w:p>
        </w:tc>
        <w:tc>
          <w:tcPr>
            <w:tcW w:w="1496"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1252"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p>
            <w:pPr>
              <w:pStyle w:val="StandardWW"/>
              <w:tabs>
                <w:tab w:val="clear" w:pos="708"/>
                <w:tab w:val="left" w:pos="0" w:leader="none"/>
              </w:tabs>
              <w:snapToGrid w:val="false"/>
              <w:ind w:right="-34"/>
              <w:jc w:val="center"/>
              <w:rPr/>
            </w:pPr>
            <w:r>
              <w:rPr>
                <w:sz w:val="18"/>
                <w:szCs w:val="18"/>
              </w:rPr>
              <w:t>(fascia B)</w:t>
            </w:r>
          </w:p>
        </w:tc>
        <w:tc>
          <w:tcPr>
            <w:tcW w:w="900"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1159" w:type="dxa"/>
            <w:vMerge w:val="continue"/>
            <w:tcBorders>
              <w:top w:val="single" w:sz="4" w:space="0" w:color="000000"/>
              <w:left w:val="single" w:sz="4" w:space="0" w:color="000000"/>
              <w:bottom w:val="single" w:sz="4" w:space="0" w:color="000000"/>
            </w:tcBorders>
            <w:vAlign w:val="center"/>
          </w:tcPr>
          <w:p>
            <w:pPr>
              <w:pStyle w:val="Normal"/>
              <w:rPr/>
            </w:pPr>
            <w:r>
              <w:rPr/>
            </w:r>
          </w:p>
        </w:tc>
        <w:tc>
          <w:tcPr>
            <w:tcW w:w="883"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65</w:t>
            </w:r>
          </w:p>
        </w:tc>
        <w:tc>
          <w:tcPr>
            <w:tcW w:w="1238" w:type="dxa"/>
            <w:tcBorders>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55</w:t>
            </w:r>
          </w:p>
        </w:tc>
      </w:tr>
      <w:tr>
        <w:trPr>
          <w:trHeight w:val="1037" w:hRule="atLeast"/>
          <w:cantSplit w:val="true"/>
        </w:trPr>
        <w:tc>
          <w:tcPr>
            <w:tcW w:w="2190" w:type="dxa"/>
            <w:vMerge w:val="restart"/>
            <w:tcBorders>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rPr/>
            </w:pPr>
            <w:r>
              <w:rPr>
                <w:b/>
                <w:bCs/>
                <w:i/>
                <w:iCs/>
                <w:sz w:val="18"/>
                <w:szCs w:val="18"/>
              </w:rPr>
              <w:t>D – urbana di scorrimento</w:t>
            </w:r>
          </w:p>
        </w:tc>
        <w:tc>
          <w:tcPr>
            <w:tcW w:w="1496"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b/>
                <w:bCs/>
                <w:sz w:val="18"/>
                <w:szCs w:val="18"/>
              </w:rPr>
              <w:t>Da</w:t>
            </w:r>
          </w:p>
          <w:p>
            <w:pPr>
              <w:pStyle w:val="StandardWW"/>
              <w:tabs>
                <w:tab w:val="clear" w:pos="708"/>
                <w:tab w:val="left" w:pos="0" w:leader="none"/>
              </w:tabs>
              <w:snapToGrid w:val="false"/>
              <w:ind w:right="-34"/>
              <w:jc w:val="center"/>
              <w:rPr/>
            </w:pPr>
            <w:r>
              <w:rPr>
                <w:sz w:val="18"/>
                <w:szCs w:val="18"/>
              </w:rPr>
              <w:t>(strade a carreggiate separate e inter-quartiere)</w:t>
            </w:r>
          </w:p>
        </w:tc>
        <w:tc>
          <w:tcPr>
            <w:tcW w:w="1252"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100</w:t>
            </w:r>
          </w:p>
        </w:tc>
        <w:tc>
          <w:tcPr>
            <w:tcW w:w="900" w:type="dxa"/>
            <w:vMerge w:val="restart"/>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50</w:t>
            </w:r>
          </w:p>
        </w:tc>
        <w:tc>
          <w:tcPr>
            <w:tcW w:w="1159" w:type="dxa"/>
            <w:vMerge w:val="restart"/>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40</w:t>
            </w:r>
          </w:p>
        </w:tc>
        <w:tc>
          <w:tcPr>
            <w:tcW w:w="883"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70</w:t>
            </w:r>
          </w:p>
        </w:tc>
        <w:tc>
          <w:tcPr>
            <w:tcW w:w="1238" w:type="dxa"/>
            <w:tcBorders>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60</w:t>
            </w:r>
          </w:p>
        </w:tc>
      </w:tr>
      <w:tr>
        <w:trPr>
          <w:trHeight w:val="276" w:hRule="atLeast"/>
          <w:cantSplit w:val="true"/>
        </w:trPr>
        <w:tc>
          <w:tcPr>
            <w:tcW w:w="2190" w:type="dxa"/>
            <w:vMerge w:val="continue"/>
            <w:tcBorders>
              <w:left w:val="single" w:sz="4" w:space="0" w:color="000000"/>
              <w:bottom w:val="single" w:sz="4" w:space="0" w:color="000000"/>
            </w:tcBorders>
            <w:shd w:color="auto" w:fill="B3B3B3" w:val="clear"/>
            <w:vAlign w:val="center"/>
          </w:tcPr>
          <w:p>
            <w:pPr>
              <w:pStyle w:val="Normal"/>
              <w:rPr/>
            </w:pPr>
            <w:r>
              <w:rPr/>
            </w:r>
          </w:p>
        </w:tc>
        <w:tc>
          <w:tcPr>
            <w:tcW w:w="1496"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b/>
                <w:bCs/>
                <w:sz w:val="18"/>
                <w:szCs w:val="18"/>
              </w:rPr>
              <w:t>Db</w:t>
            </w:r>
          </w:p>
          <w:p>
            <w:pPr>
              <w:pStyle w:val="StandardWW"/>
              <w:tabs>
                <w:tab w:val="clear" w:pos="708"/>
                <w:tab w:val="left" w:pos="0" w:leader="none"/>
              </w:tabs>
              <w:snapToGrid w:val="false"/>
              <w:ind w:right="-34"/>
              <w:jc w:val="center"/>
              <w:rPr/>
            </w:pPr>
            <w:r>
              <w:rPr>
                <w:sz w:val="18"/>
                <w:szCs w:val="18"/>
              </w:rPr>
              <w:t>(tutte le altre strade urbane di scorrimento)</w:t>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100</w:t>
            </w:r>
          </w:p>
        </w:tc>
        <w:tc>
          <w:tcPr>
            <w:tcW w:w="900" w:type="dxa"/>
            <w:vMerge w:val="continue"/>
            <w:tcBorders>
              <w:left w:val="single" w:sz="4" w:space="0" w:color="000000"/>
              <w:bottom w:val="single" w:sz="4" w:space="0" w:color="000000"/>
            </w:tcBorders>
            <w:vAlign w:val="center"/>
          </w:tcPr>
          <w:p>
            <w:pPr>
              <w:pStyle w:val="Normal"/>
              <w:rPr/>
            </w:pPr>
            <w:r>
              <w:rPr/>
            </w:r>
          </w:p>
        </w:tc>
        <w:tc>
          <w:tcPr>
            <w:tcW w:w="1159" w:type="dxa"/>
            <w:vMerge w:val="continue"/>
            <w:tcBorders>
              <w:left w:val="single" w:sz="4" w:space="0" w:color="000000"/>
              <w:bottom w:val="single" w:sz="4" w:space="0" w:color="000000"/>
            </w:tcBorders>
            <w:vAlign w:val="center"/>
          </w:tcPr>
          <w:p>
            <w:pPr>
              <w:pStyle w:val="Normal"/>
              <w:rPr/>
            </w:pPr>
            <w:r>
              <w:rPr/>
            </w:r>
          </w:p>
        </w:tc>
        <w:tc>
          <w:tcPr>
            <w:tcW w:w="883"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65</w:t>
            </w:r>
          </w:p>
        </w:tc>
        <w:tc>
          <w:tcPr>
            <w:tcW w:w="1238" w:type="dxa"/>
            <w:tcBorders>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jc w:val="center"/>
              <w:rPr/>
            </w:pPr>
            <w:r>
              <w:rPr>
                <w:sz w:val="18"/>
                <w:szCs w:val="18"/>
              </w:rPr>
              <w:t>55</w:t>
            </w:r>
          </w:p>
        </w:tc>
      </w:tr>
      <w:tr>
        <w:trPr>
          <w:trHeight w:val="408" w:hRule="atLeast"/>
          <w:cantSplit w:val="true"/>
        </w:trPr>
        <w:tc>
          <w:tcPr>
            <w:tcW w:w="2190" w:type="dxa"/>
            <w:tcBorders>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ind w:right="-34"/>
              <w:rPr/>
            </w:pPr>
            <w:r>
              <w:rPr>
                <w:b/>
                <w:bCs/>
                <w:i/>
                <w:iCs/>
                <w:sz w:val="18"/>
                <w:szCs w:val="18"/>
              </w:rPr>
              <w:t>E – urbana di quartiere</w:t>
            </w:r>
          </w:p>
        </w:tc>
        <w:tc>
          <w:tcPr>
            <w:tcW w:w="1496"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rPr>
                <w:sz w:val="18"/>
                <w:szCs w:val="18"/>
              </w:rPr>
            </w:pPr>
            <w:r>
              <w:rPr>
                <w:sz w:val="18"/>
                <w:szCs w:val="18"/>
              </w:rPr>
            </w:r>
          </w:p>
        </w:tc>
        <w:tc>
          <w:tcPr>
            <w:tcW w:w="1252" w:type="dxa"/>
            <w:tcBorders>
              <w:left w:val="single" w:sz="4" w:space="0" w:color="000000"/>
              <w:bottom w:val="single" w:sz="4" w:space="0" w:color="000000"/>
            </w:tcBorders>
            <w:vAlign w:val="center"/>
          </w:tcPr>
          <w:p>
            <w:pPr>
              <w:pStyle w:val="StandardWW"/>
              <w:tabs>
                <w:tab w:val="clear" w:pos="708"/>
                <w:tab w:val="left" w:pos="0" w:leader="none"/>
              </w:tabs>
              <w:snapToGrid w:val="false"/>
              <w:ind w:right="-34"/>
              <w:jc w:val="center"/>
              <w:rPr/>
            </w:pPr>
            <w:r>
              <w:rPr>
                <w:sz w:val="18"/>
                <w:szCs w:val="18"/>
              </w:rPr>
              <w:t>30</w:t>
            </w:r>
          </w:p>
        </w:tc>
        <w:tc>
          <w:tcPr>
            <w:tcW w:w="4180" w:type="dxa"/>
            <w:gridSpan w:val="4"/>
            <w:vMerge w:val="restart"/>
            <w:tcBorders>
              <w:left w:val="single" w:sz="4" w:space="0" w:color="000000"/>
              <w:bottom w:val="single" w:sz="4" w:space="0" w:color="000000"/>
              <w:right w:val="single" w:sz="4" w:space="0" w:color="000000"/>
            </w:tcBorders>
            <w:vAlign w:val="center"/>
          </w:tcPr>
          <w:p>
            <w:pPr>
              <w:pStyle w:val="StandardWW"/>
              <w:tabs>
                <w:tab w:val="clear" w:pos="708"/>
                <w:tab w:val="left" w:pos="0" w:leader="none"/>
              </w:tabs>
              <w:snapToGrid w:val="false"/>
              <w:ind w:right="-34"/>
              <w:rPr/>
            </w:pPr>
            <w:r>
              <w:rPr>
                <w:i/>
                <w:iCs/>
                <w:sz w:val="18"/>
                <w:szCs w:val="18"/>
              </w:rPr>
              <w:t>definiti dai comuni nel rispetto dei valori riportati nella tab. C allegata al D.P.C.M. 14/11/97 e comunque in modo conforme alla zonizzazione acustica delle aree urbane</w:t>
            </w:r>
          </w:p>
        </w:tc>
      </w:tr>
      <w:tr>
        <w:trPr>
          <w:trHeight w:val="276" w:hRule="atLeast"/>
          <w:cantSplit w:val="true"/>
        </w:trPr>
        <w:tc>
          <w:tcPr>
            <w:tcW w:w="2190" w:type="dxa"/>
            <w:tcBorders>
              <w:top w:val="single" w:sz="4" w:space="0" w:color="000000"/>
              <w:left w:val="single" w:sz="4" w:space="0" w:color="000000"/>
              <w:bottom w:val="single" w:sz="4" w:space="0" w:color="000000"/>
            </w:tcBorders>
            <w:shd w:color="auto" w:fill="B3B3B3" w:val="clear"/>
            <w:vAlign w:val="center"/>
          </w:tcPr>
          <w:p>
            <w:pPr>
              <w:pStyle w:val="StandardWW"/>
              <w:tabs>
                <w:tab w:val="clear" w:pos="708"/>
                <w:tab w:val="left" w:pos="0" w:leader="none"/>
              </w:tabs>
              <w:snapToGrid w:val="false"/>
              <w:rPr/>
            </w:pPr>
            <w:r>
              <w:rPr>
                <w:b/>
                <w:bCs/>
                <w:i/>
                <w:iCs/>
                <w:sz w:val="18"/>
                <w:szCs w:val="18"/>
              </w:rPr>
              <w:t>F – locale</w:t>
            </w:r>
          </w:p>
        </w:tc>
        <w:tc>
          <w:tcPr>
            <w:tcW w:w="1496"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rPr>
                <w:sz w:val="18"/>
                <w:szCs w:val="18"/>
              </w:rPr>
            </w:pPr>
            <w:r>
              <w:rPr>
                <w:sz w:val="18"/>
                <w:szCs w:val="18"/>
              </w:rPr>
            </w:r>
          </w:p>
        </w:tc>
        <w:tc>
          <w:tcPr>
            <w:tcW w:w="1252" w:type="dxa"/>
            <w:tcBorders>
              <w:top w:val="single" w:sz="4" w:space="0" w:color="000000"/>
              <w:left w:val="single" w:sz="4" w:space="0" w:color="000000"/>
              <w:bottom w:val="single" w:sz="4" w:space="0" w:color="000000"/>
            </w:tcBorders>
            <w:vAlign w:val="center"/>
          </w:tcPr>
          <w:p>
            <w:pPr>
              <w:pStyle w:val="StandardWW"/>
              <w:tabs>
                <w:tab w:val="clear" w:pos="708"/>
                <w:tab w:val="left" w:pos="0" w:leader="none"/>
              </w:tabs>
              <w:snapToGrid w:val="false"/>
              <w:jc w:val="center"/>
              <w:rPr/>
            </w:pPr>
            <w:r>
              <w:rPr>
                <w:sz w:val="18"/>
                <w:szCs w:val="18"/>
              </w:rPr>
              <w:t>30</w:t>
            </w:r>
          </w:p>
        </w:tc>
        <w:tc>
          <w:tcPr>
            <w:tcW w:w="4180" w:type="dxa"/>
            <w:gridSpan w:val="4"/>
            <w:vMerge w:val="continue"/>
            <w:tcBorders>
              <w:left w:val="single" w:sz="4" w:space="0" w:color="000000"/>
              <w:bottom w:val="single" w:sz="4" w:space="0" w:color="000000"/>
              <w:right w:val="single" w:sz="4" w:space="0" w:color="000000"/>
            </w:tcBorders>
            <w:vAlign w:val="center"/>
          </w:tcPr>
          <w:p>
            <w:pPr>
              <w:pStyle w:val="Normal"/>
              <w:rPr/>
            </w:pPr>
            <w:r>
              <w:rPr/>
            </w:r>
          </w:p>
        </w:tc>
      </w:tr>
    </w:tbl>
    <w:p>
      <w:pPr>
        <w:pStyle w:val="StandardWW"/>
        <w:rPr>
          <w:b/>
          <w:bCs/>
          <w:sz w:val="16"/>
          <w:szCs w:val="16"/>
        </w:rPr>
      </w:pPr>
      <w:r>
        <w:rPr>
          <w:b/>
          <w:bCs/>
          <w:sz w:val="16"/>
          <w:szCs w:val="16"/>
        </w:rPr>
      </w:r>
    </w:p>
    <w:p>
      <w:pPr>
        <w:pStyle w:val="StandardWW"/>
        <w:rPr/>
      </w:pPr>
      <w:r>
        <w:rPr/>
        <w:t>Ai sensi del DPR n.459/1998 i limiti nelle fasce di pertinenza ferroviarie sono:</w:t>
      </w:r>
    </w:p>
    <w:p>
      <w:pPr>
        <w:pStyle w:val="FigureTabelle"/>
        <w:rPr/>
      </w:pPr>
      <w:bookmarkStart w:id="16" w:name="_Toc171964382"/>
      <w:r>
        <w:rPr/>
        <w:t>Tabella 5.4 – Limiti e fasce di pertinenza ferroviarie DPR 459/1998</w:t>
      </w:r>
      <w:bookmarkEnd w:id="16"/>
    </w:p>
    <w:tbl>
      <w:tblPr>
        <w:tblW w:w="9127" w:type="dxa"/>
        <w:jc w:val="left"/>
        <w:tblInd w:w="-96" w:type="dxa"/>
        <w:tblLayout w:type="fixed"/>
        <w:tblCellMar>
          <w:top w:w="0" w:type="dxa"/>
          <w:left w:w="70" w:type="dxa"/>
          <w:bottom w:w="0" w:type="dxa"/>
          <w:right w:w="70" w:type="dxa"/>
        </w:tblCellMar>
        <w:tblLook w:firstRow="0" w:noVBand="0" w:lastRow="0" w:firstColumn="0" w:lastColumn="0" w:noHBand="0" w:val="0000"/>
      </w:tblPr>
      <w:tblGrid>
        <w:gridCol w:w="4275"/>
        <w:gridCol w:w="2196"/>
        <w:gridCol w:w="2656"/>
      </w:tblGrid>
      <w:tr>
        <w:trPr>
          <w:tblHeader w:val="true"/>
        </w:trPr>
        <w:tc>
          <w:tcPr>
            <w:tcW w:w="9127" w:type="dxa"/>
            <w:gridSpan w:val="3"/>
            <w:tcBorders>
              <w:top w:val="single" w:sz="4" w:space="0" w:color="000000"/>
              <w:left w:val="single" w:sz="4" w:space="0" w:color="000000"/>
              <w:bottom w:val="single" w:sz="4" w:space="0" w:color="000000"/>
              <w:right w:val="single" w:sz="4" w:space="0" w:color="000000"/>
            </w:tcBorders>
            <w:shd w:color="auto" w:fill="B3B3B3" w:val="clear"/>
            <w:vAlign w:val="center"/>
          </w:tcPr>
          <w:p>
            <w:pPr>
              <w:pStyle w:val="StandardWW"/>
              <w:snapToGrid w:val="false"/>
              <w:jc w:val="center"/>
              <w:rPr/>
            </w:pPr>
            <w:r>
              <w:rPr>
                <w:b/>
                <w:bCs/>
                <w:i/>
                <w:iCs/>
                <w:sz w:val="18"/>
                <w:szCs w:val="18"/>
              </w:rPr>
              <w:t>Limiti entro le fasce di pertinenza ferroviarie</w:t>
            </w:r>
          </w:p>
        </w:tc>
      </w:tr>
      <w:tr>
        <w:trPr>
          <w:tblHeader w:val="true"/>
        </w:trPr>
        <w:tc>
          <w:tcPr>
            <w:tcW w:w="4275" w:type="dxa"/>
            <w:tcBorders>
              <w:left w:val="single" w:sz="4" w:space="0" w:color="000000"/>
              <w:bottom w:val="single" w:sz="4" w:space="0" w:color="000000"/>
            </w:tcBorders>
            <w:shd w:color="auto" w:fill="FFFFFF" w:val="clear"/>
            <w:vAlign w:val="center"/>
          </w:tcPr>
          <w:p>
            <w:pPr>
              <w:pStyle w:val="StandardWW"/>
              <w:snapToGrid w:val="false"/>
              <w:rPr>
                <w:b/>
                <w:bCs/>
                <w:i/>
                <w:i/>
                <w:iCs/>
                <w:sz w:val="18"/>
                <w:szCs w:val="18"/>
              </w:rPr>
            </w:pPr>
            <w:r>
              <w:rPr>
                <w:b/>
                <w:bCs/>
                <w:i/>
                <w:iCs/>
                <w:sz w:val="18"/>
                <w:szCs w:val="18"/>
              </w:rPr>
            </w:r>
          </w:p>
        </w:tc>
        <w:tc>
          <w:tcPr>
            <w:tcW w:w="2196" w:type="dxa"/>
            <w:tcBorders>
              <w:left w:val="single" w:sz="4" w:space="0" w:color="000000"/>
              <w:bottom w:val="single" w:sz="4" w:space="0" w:color="000000"/>
            </w:tcBorders>
            <w:shd w:color="auto" w:fill="CCCCCC" w:val="clear"/>
            <w:vAlign w:val="center"/>
          </w:tcPr>
          <w:p>
            <w:pPr>
              <w:pStyle w:val="StandardWW"/>
              <w:snapToGrid w:val="false"/>
              <w:jc w:val="center"/>
              <w:rPr/>
            </w:pPr>
            <w:r>
              <w:rPr>
                <w:b/>
                <w:bCs/>
                <w:i/>
                <w:iCs/>
                <w:sz w:val="18"/>
                <w:szCs w:val="18"/>
              </w:rPr>
              <w:t>Leq diurno dB(A)</w:t>
            </w:r>
          </w:p>
        </w:tc>
        <w:tc>
          <w:tcPr>
            <w:tcW w:w="2656" w:type="dxa"/>
            <w:tcBorders>
              <w:left w:val="single" w:sz="4" w:space="0" w:color="000000"/>
              <w:bottom w:val="single" w:sz="4" w:space="0" w:color="000000"/>
              <w:right w:val="single" w:sz="4" w:space="0" w:color="000000"/>
            </w:tcBorders>
            <w:shd w:color="auto" w:fill="CCCCCC" w:val="clear"/>
            <w:vAlign w:val="center"/>
          </w:tcPr>
          <w:p>
            <w:pPr>
              <w:pStyle w:val="StandardWW"/>
              <w:snapToGrid w:val="false"/>
              <w:jc w:val="center"/>
              <w:rPr/>
            </w:pPr>
            <w:r>
              <w:rPr>
                <w:b/>
                <w:bCs/>
                <w:i/>
                <w:iCs/>
                <w:sz w:val="18"/>
                <w:szCs w:val="18"/>
              </w:rPr>
              <w:t>Leq notturno dB(A)</w:t>
            </w:r>
          </w:p>
        </w:tc>
      </w:tr>
      <w:tr>
        <w:trPr/>
        <w:tc>
          <w:tcPr>
            <w:tcW w:w="4275" w:type="dxa"/>
            <w:tcBorders>
              <w:top w:val="single" w:sz="4" w:space="0" w:color="000000"/>
              <w:left w:val="single" w:sz="4" w:space="0" w:color="000000"/>
              <w:bottom w:val="single" w:sz="4" w:space="0" w:color="000000"/>
            </w:tcBorders>
            <w:vAlign w:val="center"/>
          </w:tcPr>
          <w:p>
            <w:pPr>
              <w:pStyle w:val="StandardWW"/>
              <w:snapToGrid w:val="false"/>
              <w:rPr/>
            </w:pPr>
            <w:r>
              <w:rPr>
                <w:sz w:val="18"/>
                <w:szCs w:val="18"/>
              </w:rPr>
              <w:t>Scuole</w:t>
            </w:r>
          </w:p>
        </w:tc>
        <w:tc>
          <w:tcPr>
            <w:tcW w:w="2196" w:type="dxa"/>
            <w:tcBorders>
              <w:top w:val="single" w:sz="4" w:space="0" w:color="000000"/>
              <w:left w:val="single" w:sz="4" w:space="0" w:color="000000"/>
              <w:bottom w:val="single" w:sz="4" w:space="0" w:color="000000"/>
            </w:tcBorders>
            <w:vAlign w:val="center"/>
          </w:tcPr>
          <w:p>
            <w:pPr>
              <w:pStyle w:val="StandardWW"/>
              <w:snapToGrid w:val="false"/>
              <w:jc w:val="center"/>
              <w:rPr/>
            </w:pPr>
            <w:r>
              <w:rPr>
                <w:sz w:val="18"/>
                <w:szCs w:val="18"/>
              </w:rPr>
              <w:t>50</w:t>
            </w:r>
          </w:p>
        </w:tc>
        <w:tc>
          <w:tcPr>
            <w:tcW w:w="2656" w:type="dxa"/>
            <w:tcBorders>
              <w:top w:val="single" w:sz="4" w:space="0" w:color="000000"/>
              <w:left w:val="single" w:sz="4" w:space="0" w:color="000000"/>
              <w:bottom w:val="single" w:sz="4" w:space="0" w:color="000000"/>
              <w:right w:val="single" w:sz="4" w:space="0" w:color="000000"/>
            </w:tcBorders>
            <w:vAlign w:val="center"/>
          </w:tcPr>
          <w:p>
            <w:pPr>
              <w:pStyle w:val="StandardWW"/>
              <w:snapToGrid w:val="false"/>
              <w:jc w:val="center"/>
              <w:rPr/>
            </w:pPr>
            <w:r>
              <w:rPr>
                <w:sz w:val="18"/>
                <w:szCs w:val="18"/>
              </w:rPr>
              <w:t>-</w:t>
            </w:r>
          </w:p>
        </w:tc>
      </w:tr>
      <w:tr>
        <w:trPr/>
        <w:tc>
          <w:tcPr>
            <w:tcW w:w="4275" w:type="dxa"/>
            <w:tcBorders>
              <w:top w:val="single" w:sz="4" w:space="0" w:color="000000"/>
              <w:left w:val="single" w:sz="4" w:space="0" w:color="000000"/>
              <w:bottom w:val="single" w:sz="4" w:space="0" w:color="000000"/>
            </w:tcBorders>
            <w:vAlign w:val="center"/>
          </w:tcPr>
          <w:p>
            <w:pPr>
              <w:pStyle w:val="StandardWW"/>
              <w:snapToGrid w:val="false"/>
              <w:rPr/>
            </w:pPr>
            <w:r>
              <w:rPr>
                <w:sz w:val="18"/>
                <w:szCs w:val="18"/>
              </w:rPr>
              <w:t>Ospedali, case di cura e case di riposo</w:t>
            </w:r>
          </w:p>
        </w:tc>
        <w:tc>
          <w:tcPr>
            <w:tcW w:w="2196" w:type="dxa"/>
            <w:tcBorders>
              <w:top w:val="single" w:sz="4" w:space="0" w:color="000000"/>
              <w:left w:val="single" w:sz="4" w:space="0" w:color="000000"/>
              <w:bottom w:val="single" w:sz="4" w:space="0" w:color="000000"/>
            </w:tcBorders>
            <w:vAlign w:val="center"/>
          </w:tcPr>
          <w:p>
            <w:pPr>
              <w:pStyle w:val="StandardWW"/>
              <w:snapToGrid w:val="false"/>
              <w:jc w:val="center"/>
              <w:rPr/>
            </w:pPr>
            <w:r>
              <w:rPr>
                <w:sz w:val="18"/>
                <w:szCs w:val="18"/>
              </w:rPr>
              <w:t>50</w:t>
            </w:r>
          </w:p>
        </w:tc>
        <w:tc>
          <w:tcPr>
            <w:tcW w:w="2656" w:type="dxa"/>
            <w:tcBorders>
              <w:top w:val="single" w:sz="4" w:space="0" w:color="000000"/>
              <w:left w:val="single" w:sz="4" w:space="0" w:color="000000"/>
              <w:bottom w:val="single" w:sz="4" w:space="0" w:color="000000"/>
              <w:right w:val="single" w:sz="4" w:space="0" w:color="000000"/>
            </w:tcBorders>
            <w:vAlign w:val="center"/>
          </w:tcPr>
          <w:p>
            <w:pPr>
              <w:pStyle w:val="StandardWW"/>
              <w:snapToGrid w:val="false"/>
              <w:jc w:val="center"/>
              <w:rPr/>
            </w:pPr>
            <w:r>
              <w:rPr>
                <w:sz w:val="18"/>
                <w:szCs w:val="18"/>
              </w:rPr>
              <w:t>40</w:t>
            </w:r>
          </w:p>
        </w:tc>
      </w:tr>
      <w:tr>
        <w:trPr/>
        <w:tc>
          <w:tcPr>
            <w:tcW w:w="4275" w:type="dxa"/>
            <w:tcBorders>
              <w:top w:val="single" w:sz="4" w:space="0" w:color="000000"/>
              <w:left w:val="single" w:sz="4" w:space="0" w:color="000000"/>
              <w:bottom w:val="single" w:sz="4" w:space="0" w:color="000000"/>
            </w:tcBorders>
            <w:vAlign w:val="center"/>
          </w:tcPr>
          <w:p>
            <w:pPr>
              <w:pStyle w:val="StandardWW"/>
              <w:snapToGrid w:val="false"/>
              <w:rPr/>
            </w:pPr>
            <w:r>
              <w:rPr>
                <w:sz w:val="18"/>
                <w:szCs w:val="18"/>
              </w:rPr>
              <w:t>Altri ricettori fascia A (100 metri)</w:t>
            </w:r>
          </w:p>
        </w:tc>
        <w:tc>
          <w:tcPr>
            <w:tcW w:w="2196" w:type="dxa"/>
            <w:tcBorders>
              <w:top w:val="single" w:sz="4" w:space="0" w:color="000000"/>
              <w:left w:val="single" w:sz="4" w:space="0" w:color="000000"/>
              <w:bottom w:val="single" w:sz="4" w:space="0" w:color="000000"/>
            </w:tcBorders>
            <w:vAlign w:val="center"/>
          </w:tcPr>
          <w:p>
            <w:pPr>
              <w:pStyle w:val="StandardWW"/>
              <w:snapToGrid w:val="false"/>
              <w:jc w:val="center"/>
              <w:rPr/>
            </w:pPr>
            <w:r>
              <w:rPr>
                <w:sz w:val="18"/>
                <w:szCs w:val="18"/>
              </w:rPr>
              <w:t>70</w:t>
            </w:r>
          </w:p>
        </w:tc>
        <w:tc>
          <w:tcPr>
            <w:tcW w:w="2656" w:type="dxa"/>
            <w:tcBorders>
              <w:top w:val="single" w:sz="4" w:space="0" w:color="000000"/>
              <w:left w:val="single" w:sz="4" w:space="0" w:color="000000"/>
              <w:bottom w:val="single" w:sz="4" w:space="0" w:color="000000"/>
              <w:right w:val="single" w:sz="4" w:space="0" w:color="000000"/>
            </w:tcBorders>
            <w:vAlign w:val="center"/>
          </w:tcPr>
          <w:p>
            <w:pPr>
              <w:pStyle w:val="StandardWW"/>
              <w:snapToGrid w:val="false"/>
              <w:jc w:val="center"/>
              <w:rPr/>
            </w:pPr>
            <w:r>
              <w:rPr>
                <w:sz w:val="18"/>
                <w:szCs w:val="18"/>
              </w:rPr>
              <w:t>60</w:t>
            </w:r>
          </w:p>
        </w:tc>
      </w:tr>
      <w:tr>
        <w:trPr/>
        <w:tc>
          <w:tcPr>
            <w:tcW w:w="4275" w:type="dxa"/>
            <w:tcBorders>
              <w:top w:val="single" w:sz="4" w:space="0" w:color="000000"/>
              <w:left w:val="single" w:sz="4" w:space="0" w:color="000000"/>
              <w:bottom w:val="single" w:sz="4" w:space="0" w:color="000000"/>
            </w:tcBorders>
            <w:vAlign w:val="center"/>
          </w:tcPr>
          <w:p>
            <w:pPr>
              <w:pStyle w:val="StandardWW"/>
              <w:snapToGrid w:val="false"/>
              <w:rPr/>
            </w:pPr>
            <w:r>
              <w:rPr>
                <w:sz w:val="18"/>
                <w:szCs w:val="18"/>
              </w:rPr>
              <w:t>Altri ricettori fascia B (150 metri)</w:t>
            </w:r>
          </w:p>
        </w:tc>
        <w:tc>
          <w:tcPr>
            <w:tcW w:w="2196" w:type="dxa"/>
            <w:tcBorders>
              <w:top w:val="single" w:sz="4" w:space="0" w:color="000000"/>
              <w:left w:val="single" w:sz="4" w:space="0" w:color="000000"/>
              <w:bottom w:val="single" w:sz="4" w:space="0" w:color="000000"/>
            </w:tcBorders>
            <w:vAlign w:val="center"/>
          </w:tcPr>
          <w:p>
            <w:pPr>
              <w:pStyle w:val="StandardWW"/>
              <w:snapToGrid w:val="false"/>
              <w:jc w:val="center"/>
              <w:rPr/>
            </w:pPr>
            <w:r>
              <w:rPr>
                <w:sz w:val="18"/>
                <w:szCs w:val="18"/>
              </w:rPr>
              <w:t>65</w:t>
            </w:r>
          </w:p>
        </w:tc>
        <w:tc>
          <w:tcPr>
            <w:tcW w:w="2656" w:type="dxa"/>
            <w:tcBorders>
              <w:top w:val="single" w:sz="4" w:space="0" w:color="000000"/>
              <w:left w:val="single" w:sz="4" w:space="0" w:color="000000"/>
              <w:bottom w:val="single" w:sz="4" w:space="0" w:color="000000"/>
              <w:right w:val="single" w:sz="4" w:space="0" w:color="000000"/>
            </w:tcBorders>
            <w:vAlign w:val="center"/>
          </w:tcPr>
          <w:p>
            <w:pPr>
              <w:pStyle w:val="StandardWW"/>
              <w:snapToGrid w:val="false"/>
              <w:jc w:val="center"/>
              <w:rPr/>
            </w:pPr>
            <w:r>
              <w:rPr>
                <w:sz w:val="18"/>
                <w:szCs w:val="18"/>
              </w:rPr>
              <w:t>55</w:t>
            </w:r>
          </w:p>
        </w:tc>
      </w:tr>
      <w:tr>
        <w:trPr/>
        <w:tc>
          <w:tcPr>
            <w:tcW w:w="4275" w:type="dxa"/>
            <w:tcBorders>
              <w:top w:val="single" w:sz="4" w:space="0" w:color="000000"/>
              <w:left w:val="single" w:sz="4" w:space="0" w:color="000000"/>
              <w:bottom w:val="single" w:sz="4" w:space="0" w:color="000000"/>
            </w:tcBorders>
            <w:vAlign w:val="center"/>
          </w:tcPr>
          <w:p>
            <w:pPr>
              <w:pStyle w:val="StandardWW"/>
              <w:snapToGrid w:val="false"/>
              <w:rPr/>
            </w:pPr>
            <w:r>
              <w:rPr>
                <w:sz w:val="18"/>
                <w:szCs w:val="18"/>
              </w:rPr>
              <w:t>Altri ricettori con infrastrutture di nuova costruzione (250 metri)</w:t>
            </w:r>
          </w:p>
          <w:p>
            <w:pPr>
              <w:pStyle w:val="StandardWW"/>
              <w:snapToGrid w:val="false"/>
              <w:rPr/>
            </w:pPr>
            <w:r>
              <w:rPr>
                <w:sz w:val="18"/>
                <w:szCs w:val="18"/>
              </w:rPr>
              <w:t>con velocità di progetto &gt; 200 km/h</w:t>
            </w:r>
          </w:p>
        </w:tc>
        <w:tc>
          <w:tcPr>
            <w:tcW w:w="2196" w:type="dxa"/>
            <w:tcBorders>
              <w:top w:val="single" w:sz="4" w:space="0" w:color="000000"/>
              <w:left w:val="single" w:sz="4" w:space="0" w:color="000000"/>
              <w:bottom w:val="single" w:sz="4" w:space="0" w:color="000000"/>
            </w:tcBorders>
            <w:vAlign w:val="center"/>
          </w:tcPr>
          <w:p>
            <w:pPr>
              <w:pStyle w:val="StandardWW"/>
              <w:jc w:val="center"/>
              <w:rPr/>
            </w:pPr>
            <w:r>
              <w:rPr>
                <w:sz w:val="18"/>
                <w:szCs w:val="18"/>
              </w:rPr>
              <w:t>65</w:t>
            </w:r>
          </w:p>
        </w:tc>
        <w:tc>
          <w:tcPr>
            <w:tcW w:w="2656" w:type="dxa"/>
            <w:tcBorders>
              <w:top w:val="single" w:sz="4" w:space="0" w:color="000000"/>
              <w:left w:val="single" w:sz="4" w:space="0" w:color="000000"/>
              <w:bottom w:val="single" w:sz="4" w:space="0" w:color="000000"/>
              <w:right w:val="single" w:sz="4" w:space="0" w:color="000000"/>
            </w:tcBorders>
            <w:vAlign w:val="center"/>
          </w:tcPr>
          <w:p>
            <w:pPr>
              <w:pStyle w:val="StandardWW"/>
              <w:jc w:val="center"/>
              <w:rPr/>
            </w:pPr>
            <w:r>
              <w:rPr>
                <w:sz w:val="18"/>
                <w:szCs w:val="18"/>
              </w:rPr>
              <w:t>55</w:t>
            </w:r>
          </w:p>
        </w:tc>
      </w:tr>
    </w:tbl>
    <w:p>
      <w:pPr>
        <w:pStyle w:val="StandardWW"/>
        <w:tabs>
          <w:tab w:val="clear" w:pos="708"/>
          <w:tab w:val="left" w:pos="284" w:leader="none"/>
        </w:tabs>
        <w:rPr>
          <w:rFonts w:cs="Times New Roman"/>
        </w:rPr>
      </w:pPr>
      <w:r>
        <w:rPr>
          <w:rFonts w:cs="Times New Roman"/>
        </w:rPr>
      </w:r>
    </w:p>
    <w:p>
      <w:pPr>
        <w:pStyle w:val="StandardWW"/>
        <w:tabs>
          <w:tab w:val="clear" w:pos="708"/>
          <w:tab w:val="left" w:pos="284" w:leader="none"/>
        </w:tabs>
        <w:rPr/>
      </w:pPr>
      <w:r>
        <w:rPr>
          <w:rFonts w:cs="Times New Roman"/>
        </w:rPr>
        <w:t>Ai sensi del DM 31/10/1997 i limiti nelle zone di rispetto aeroportuali sono:</w:t>
      </w:r>
    </w:p>
    <w:p>
      <w:pPr>
        <w:pStyle w:val="FigureTabelle"/>
        <w:rPr/>
      </w:pPr>
      <w:bookmarkStart w:id="17" w:name="_Toc171964383"/>
      <w:r>
        <w:rPr/>
        <w:t>Tabella 5.</w:t>
      </w:r>
      <w:bookmarkEnd w:id="17"/>
      <w:r>
        <w:rPr/>
        <w:t>5</w:t>
      </w:r>
    </w:p>
    <w:tbl>
      <w:tblPr>
        <w:tblW w:w="9127" w:type="dxa"/>
        <w:jc w:val="left"/>
        <w:tblInd w:w="-58" w:type="dxa"/>
        <w:tblLayout w:type="fixed"/>
        <w:tblCellMar>
          <w:top w:w="55" w:type="dxa"/>
          <w:left w:w="55" w:type="dxa"/>
          <w:bottom w:w="55" w:type="dxa"/>
          <w:right w:w="55" w:type="dxa"/>
        </w:tblCellMar>
        <w:tblLook w:firstRow="0" w:noVBand="0" w:lastRow="0" w:firstColumn="0" w:lastColumn="0" w:noHBand="0" w:val="0000"/>
      </w:tblPr>
      <w:tblGrid>
        <w:gridCol w:w="2100"/>
        <w:gridCol w:w="1695"/>
        <w:gridCol w:w="5332"/>
      </w:tblGrid>
      <w:tr>
        <w:trPr>
          <w:tblHeader w:val="true"/>
        </w:trPr>
        <w:tc>
          <w:tcPr>
            <w:tcW w:w="2100" w:type="dxa"/>
            <w:tcBorders>
              <w:top w:val="single" w:sz="2" w:space="0" w:color="000000"/>
              <w:left w:val="single" w:sz="2" w:space="0" w:color="000000"/>
              <w:bottom w:val="single" w:sz="2" w:space="0" w:color="000000"/>
            </w:tcBorders>
            <w:shd w:color="auto" w:fill="B2B2B2" w:val="clear"/>
            <w:vAlign w:val="center"/>
          </w:tcPr>
          <w:p>
            <w:pPr>
              <w:pStyle w:val="Contenutotabella"/>
              <w:spacing w:before="120" w:after="120"/>
              <w:jc w:val="center"/>
              <w:rPr/>
            </w:pPr>
            <w:r>
              <w:rPr>
                <w:b/>
                <w:bCs/>
                <w:sz w:val="18"/>
                <w:szCs w:val="18"/>
              </w:rPr>
              <w:t>Zona di rispetto</w:t>
            </w:r>
          </w:p>
        </w:tc>
        <w:tc>
          <w:tcPr>
            <w:tcW w:w="1695" w:type="dxa"/>
            <w:tcBorders>
              <w:top w:val="single" w:sz="2" w:space="0" w:color="000000"/>
              <w:left w:val="single" w:sz="2" w:space="0" w:color="000000"/>
              <w:bottom w:val="single" w:sz="2" w:space="0" w:color="000000"/>
            </w:tcBorders>
            <w:shd w:color="auto" w:fill="B2B2B2" w:val="clear"/>
            <w:vAlign w:val="center"/>
          </w:tcPr>
          <w:p>
            <w:pPr>
              <w:pStyle w:val="Contenutotabella"/>
              <w:spacing w:before="120" w:after="120"/>
              <w:jc w:val="center"/>
              <w:rPr/>
            </w:pPr>
            <w:r>
              <w:rPr>
                <w:b/>
                <w:bCs/>
                <w:sz w:val="18"/>
                <w:szCs w:val="18"/>
              </w:rPr>
              <w:t>Valori limite [dBA]</w:t>
            </w:r>
          </w:p>
        </w:tc>
        <w:tc>
          <w:tcPr>
            <w:tcW w:w="5332" w:type="dxa"/>
            <w:tcBorders>
              <w:top w:val="single" w:sz="2" w:space="0" w:color="000000"/>
              <w:left w:val="single" w:sz="2" w:space="0" w:color="000000"/>
              <w:bottom w:val="single" w:sz="2" w:space="0" w:color="000000"/>
              <w:right w:val="single" w:sz="2" w:space="0" w:color="000000"/>
            </w:tcBorders>
            <w:shd w:color="auto" w:fill="B2B2B2" w:val="clear"/>
            <w:vAlign w:val="center"/>
          </w:tcPr>
          <w:p>
            <w:pPr>
              <w:pStyle w:val="Contenutotabella"/>
              <w:spacing w:before="120" w:after="120"/>
              <w:jc w:val="center"/>
              <w:rPr/>
            </w:pPr>
            <w:r>
              <w:rPr>
                <w:b/>
                <w:bCs/>
                <w:sz w:val="18"/>
                <w:szCs w:val="18"/>
              </w:rPr>
              <w:t>Limitazioni urbanistiche</w:t>
            </w:r>
          </w:p>
        </w:tc>
      </w:tr>
      <w:tr>
        <w:trPr/>
        <w:tc>
          <w:tcPr>
            <w:tcW w:w="2100" w:type="dxa"/>
            <w:tcBorders>
              <w:left w:val="single" w:sz="2" w:space="0" w:color="000000"/>
              <w:bottom w:val="single" w:sz="2" w:space="0" w:color="000000"/>
            </w:tcBorders>
            <w:vAlign w:val="center"/>
          </w:tcPr>
          <w:p>
            <w:pPr>
              <w:pStyle w:val="Contenutotabella"/>
              <w:spacing w:before="120" w:after="120"/>
              <w:jc w:val="center"/>
              <w:rPr/>
            </w:pPr>
            <w:r>
              <w:rPr>
                <w:sz w:val="18"/>
                <w:szCs w:val="18"/>
              </w:rPr>
              <w:t>C</w:t>
            </w:r>
          </w:p>
        </w:tc>
        <w:tc>
          <w:tcPr>
            <w:tcW w:w="1695" w:type="dxa"/>
            <w:tcBorders>
              <w:left w:val="single" w:sz="2" w:space="0" w:color="000000"/>
              <w:bottom w:val="single" w:sz="2" w:space="0" w:color="000000"/>
            </w:tcBorders>
            <w:vAlign w:val="center"/>
          </w:tcPr>
          <w:p>
            <w:pPr>
              <w:pStyle w:val="Contenutotabella"/>
              <w:spacing w:before="120" w:after="120"/>
              <w:jc w:val="center"/>
              <w:rPr/>
            </w:pPr>
            <w:r>
              <w:rPr>
                <w:sz w:val="18"/>
                <w:szCs w:val="18"/>
              </w:rPr>
              <w:t>Lva&gt;75</w:t>
            </w:r>
          </w:p>
        </w:tc>
        <w:tc>
          <w:tcPr>
            <w:tcW w:w="5332"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sz w:val="18"/>
                <w:szCs w:val="18"/>
              </w:rPr>
              <w:t>esclusivamente leattività funzionalmente connesse con l'uso ed i servizi delle infrastrutture aeroportuali</w:t>
            </w:r>
          </w:p>
        </w:tc>
      </w:tr>
      <w:tr>
        <w:trPr/>
        <w:tc>
          <w:tcPr>
            <w:tcW w:w="2100" w:type="dxa"/>
            <w:tcBorders>
              <w:left w:val="single" w:sz="2" w:space="0" w:color="000000"/>
              <w:bottom w:val="single" w:sz="2" w:space="0" w:color="000000"/>
            </w:tcBorders>
            <w:vAlign w:val="center"/>
          </w:tcPr>
          <w:p>
            <w:pPr>
              <w:pStyle w:val="Contenutotabella"/>
              <w:spacing w:before="120" w:after="120"/>
              <w:jc w:val="center"/>
              <w:rPr/>
            </w:pPr>
            <w:r>
              <w:rPr>
                <w:sz w:val="18"/>
                <w:szCs w:val="18"/>
              </w:rPr>
              <w:t>B</w:t>
            </w:r>
          </w:p>
        </w:tc>
        <w:tc>
          <w:tcPr>
            <w:tcW w:w="1695" w:type="dxa"/>
            <w:tcBorders>
              <w:left w:val="single" w:sz="2" w:space="0" w:color="000000"/>
              <w:bottom w:val="single" w:sz="2" w:space="0" w:color="000000"/>
            </w:tcBorders>
            <w:vAlign w:val="center"/>
          </w:tcPr>
          <w:p>
            <w:pPr>
              <w:pStyle w:val="Contenutotabella"/>
              <w:spacing w:before="120" w:after="120"/>
              <w:jc w:val="center"/>
              <w:rPr/>
            </w:pPr>
            <w:r>
              <w:rPr>
                <w:sz w:val="18"/>
                <w:szCs w:val="18"/>
              </w:rPr>
              <w:t>65&lt;Lva≤75</w:t>
            </w:r>
          </w:p>
        </w:tc>
        <w:tc>
          <w:tcPr>
            <w:tcW w:w="5332" w:type="dxa"/>
            <w:tcBorders>
              <w:left w:val="single" w:sz="2" w:space="0" w:color="000000"/>
              <w:bottom w:val="single" w:sz="2" w:space="0" w:color="000000"/>
              <w:right w:val="single" w:sz="2" w:space="0" w:color="000000"/>
            </w:tcBorders>
            <w:vAlign w:val="center"/>
          </w:tcPr>
          <w:p>
            <w:pPr>
              <w:pStyle w:val="StandardWW"/>
              <w:rPr/>
            </w:pPr>
            <w:r>
              <w:rPr>
                <w:sz w:val="18"/>
                <w:szCs w:val="18"/>
              </w:rPr>
              <w:t>attività agricole ed allevamenti di bestiame, attività industriali ed assimilate,attività commerciali, attività di ufficio, terziari e assimilate, previa adozione di adeguate misure di isolamento acustico</w:t>
            </w:r>
          </w:p>
        </w:tc>
      </w:tr>
      <w:tr>
        <w:trPr/>
        <w:tc>
          <w:tcPr>
            <w:tcW w:w="2100" w:type="dxa"/>
            <w:tcBorders>
              <w:left w:val="single" w:sz="2" w:space="0" w:color="000000"/>
              <w:bottom w:val="single" w:sz="2" w:space="0" w:color="000000"/>
            </w:tcBorders>
            <w:vAlign w:val="center"/>
          </w:tcPr>
          <w:p>
            <w:pPr>
              <w:pStyle w:val="Contenutotabella"/>
              <w:spacing w:before="120" w:after="120"/>
              <w:jc w:val="center"/>
              <w:rPr/>
            </w:pPr>
            <w:r>
              <w:rPr>
                <w:sz w:val="18"/>
                <w:szCs w:val="18"/>
              </w:rPr>
              <w:t>A</w:t>
            </w:r>
          </w:p>
        </w:tc>
        <w:tc>
          <w:tcPr>
            <w:tcW w:w="1695" w:type="dxa"/>
            <w:tcBorders>
              <w:left w:val="single" w:sz="2" w:space="0" w:color="000000"/>
              <w:bottom w:val="single" w:sz="2" w:space="0" w:color="000000"/>
            </w:tcBorders>
            <w:vAlign w:val="center"/>
          </w:tcPr>
          <w:p>
            <w:pPr>
              <w:pStyle w:val="Contenutotabella"/>
              <w:spacing w:before="120" w:after="120"/>
              <w:jc w:val="center"/>
              <w:rPr/>
            </w:pPr>
            <w:r>
              <w:rPr>
                <w:sz w:val="18"/>
                <w:szCs w:val="18"/>
              </w:rPr>
              <w:t>60&lt;Lva≤65</w:t>
            </w:r>
          </w:p>
        </w:tc>
        <w:tc>
          <w:tcPr>
            <w:tcW w:w="5332"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sz w:val="18"/>
                <w:szCs w:val="18"/>
              </w:rPr>
              <w:t>Non sono previste limitazioni</w:t>
            </w:r>
          </w:p>
        </w:tc>
      </w:tr>
      <w:tr>
        <w:trPr/>
        <w:tc>
          <w:tcPr>
            <w:tcW w:w="2100" w:type="dxa"/>
            <w:tcBorders>
              <w:left w:val="single" w:sz="2" w:space="0" w:color="000000"/>
              <w:bottom w:val="single" w:sz="2" w:space="0" w:color="000000"/>
            </w:tcBorders>
            <w:vAlign w:val="center"/>
          </w:tcPr>
          <w:p>
            <w:pPr>
              <w:pStyle w:val="Contenutotabella"/>
              <w:spacing w:before="120" w:after="120"/>
              <w:jc w:val="center"/>
              <w:rPr/>
            </w:pPr>
            <w:r>
              <w:rPr>
                <w:sz w:val="18"/>
                <w:szCs w:val="18"/>
              </w:rPr>
              <w:t>Aree esterne ad A, B, C</w:t>
            </w:r>
          </w:p>
        </w:tc>
        <w:tc>
          <w:tcPr>
            <w:tcW w:w="1695" w:type="dxa"/>
            <w:tcBorders>
              <w:left w:val="single" w:sz="2" w:space="0" w:color="000000"/>
              <w:bottom w:val="single" w:sz="2" w:space="0" w:color="000000"/>
            </w:tcBorders>
            <w:vAlign w:val="center"/>
          </w:tcPr>
          <w:p>
            <w:pPr>
              <w:pStyle w:val="Contenutotabella"/>
              <w:spacing w:before="120" w:after="120"/>
              <w:jc w:val="center"/>
              <w:rPr/>
            </w:pPr>
            <w:r>
              <w:rPr>
                <w:sz w:val="18"/>
                <w:szCs w:val="18"/>
              </w:rPr>
              <w:t>Lva≤60</w:t>
            </w:r>
          </w:p>
        </w:tc>
        <w:tc>
          <w:tcPr>
            <w:tcW w:w="5332"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sz w:val="18"/>
                <w:szCs w:val="18"/>
              </w:rPr>
              <w:t>Non sono previste limitazioni</w:t>
            </w:r>
          </w:p>
        </w:tc>
      </w:tr>
    </w:tbl>
    <w:p>
      <w:pPr>
        <w:pStyle w:val="StandardWW"/>
        <w:tabs>
          <w:tab w:val="clear" w:pos="708"/>
          <w:tab w:val="left" w:pos="0" w:leader="none"/>
        </w:tabs>
        <w:rPr>
          <w:rFonts w:eastAsia="Mangal"/>
          <w:lang w:eastAsia="hi-IN"/>
        </w:rPr>
      </w:pPr>
      <w:r>
        <w:rPr>
          <w:rFonts w:eastAsia="Mangal"/>
          <w:lang w:eastAsia="hi-IN"/>
        </w:rPr>
      </w:r>
    </w:p>
    <w:p>
      <w:pPr>
        <w:pStyle w:val="StandardWW"/>
        <w:tabs>
          <w:tab w:val="clear" w:pos="708"/>
          <w:tab w:val="left" w:pos="0" w:leader="none"/>
        </w:tabs>
        <w:rPr>
          <w:rFonts w:eastAsia="Mangal"/>
          <w:lang w:eastAsia="hi-IN"/>
        </w:rPr>
      </w:pPr>
      <w:r>
        <w:rPr>
          <w:rFonts w:eastAsia="Mangal"/>
          <w:lang w:eastAsia="hi-IN"/>
        </w:rPr>
      </w:r>
    </w:p>
    <w:p>
      <w:pPr>
        <w:pStyle w:val="Heading1"/>
        <w:numPr>
          <w:ilvl w:val="0"/>
          <w:numId w:val="209"/>
        </w:numPr>
        <w:rPr/>
      </w:pPr>
      <w:bookmarkStart w:id="18" w:name="__RefHeading___Toc6108_3300957195"/>
      <w:bookmarkStart w:id="19" w:name="_Toc178778178"/>
      <w:bookmarkEnd w:id="18"/>
      <w:r>
        <w:rPr/>
        <w:t>SINTESI DEI RISULTATI DELLA MAPPATURA ACUSTICA - Requisito di cui all. 5 D.Lgs. 194/2005 lett.e)</w:t>
      </w:r>
      <w:bookmarkEnd w:id="19"/>
    </w:p>
    <w:p>
      <w:pPr>
        <w:pStyle w:val="StandardWW"/>
        <w:spacing w:lineRule="auto" w:line="240"/>
        <w:rPr>
          <w:rFonts w:eastAsia="Mangal"/>
          <w:lang w:eastAsia="hi-IN"/>
        </w:rPr>
      </w:pPr>
      <w:r>
        <w:rPr>
          <w:rFonts w:eastAsia="Mangal"/>
          <w:lang w:eastAsia="hi-IN"/>
        </w:rPr>
      </w:r>
    </w:p>
    <w:p>
      <w:pPr>
        <w:pStyle w:val="NormaleCorpo"/>
        <w:spacing w:lineRule="auto" w:line="360" w:before="280" w:after="120"/>
        <w:rPr/>
      </w:pPr>
      <w:r>
        <w:rPr>
          <w:rFonts w:cs="Arial" w:ascii="Arial" w:hAnsi="Arial"/>
          <w:sz w:val="20"/>
          <w:szCs w:val="20"/>
        </w:rPr>
        <w:t xml:space="preserve">I risultati ottenuti evidenziano che il </w:t>
      </w:r>
      <w:r>
        <w:rPr>
          <w:rFonts w:cs="Arial" w:ascii="Arial" w:hAnsi="Arial"/>
          <w:b/>
          <w:bCs/>
          <w:sz w:val="20"/>
          <w:szCs w:val="20"/>
        </w:rPr>
        <w:t>traffico veicolare</w:t>
      </w:r>
      <w:r>
        <w:rPr>
          <w:rFonts w:cs="Arial" w:ascii="Arial" w:hAnsi="Arial"/>
          <w:sz w:val="20"/>
          <w:szCs w:val="20"/>
        </w:rPr>
        <w:t xml:space="preserve"> è la sorgente di rumore infrastrutturale che determina, con ordini di grandezza significativi, un'elevata percentuale di popolazione esposta alle fasce più alte di livelli sonori, sulla base di soglie da potersi considerare come riferimenti di possibili criticità. Indicativa è la distribuzione della popolazione esposta per sorgente infrastrutturale.</w:t>
      </w:r>
    </w:p>
    <w:p>
      <w:pPr>
        <w:pStyle w:val="Standard"/>
        <w:suppressAutoHyphens w:val="false"/>
        <w:spacing w:lineRule="auto" w:line="360" w:before="280" w:after="120"/>
        <w:rPr/>
      </w:pPr>
      <w:r>
        <w:rPr>
          <w:rFonts w:cs="Arial" w:ascii="Arial" w:hAnsi="Arial"/>
          <w:sz w:val="20"/>
          <w:szCs w:val="20"/>
          <w:lang w:eastAsia="it-IT"/>
        </w:rPr>
        <w:t>Nelle tabelle seguenti è riassunta l'esposizione della popolazione al rumore prodotto dalla sola infrastruttura stradale suddivisa per i Comuni ricadenti all'interno della Città Metropolitana di Cagliari.</w:t>
      </w:r>
    </w:p>
    <w:p>
      <w:pPr>
        <w:pStyle w:val="Standard"/>
        <w:suppressAutoHyphens w:val="false"/>
        <w:rPr>
          <w:b/>
          <w:bCs/>
          <w:szCs w:val="20"/>
          <w:lang w:eastAsia="it-IT"/>
        </w:rPr>
      </w:pPr>
      <w:r>
        <w:rPr>
          <w:b/>
          <w:bCs/>
          <w:szCs w:val="20"/>
          <w:lang w:eastAsia="it-IT"/>
        </w:rPr>
      </w:r>
    </w:p>
    <w:p>
      <w:pPr>
        <w:pStyle w:val="Standard"/>
        <w:suppressAutoHyphens w:val="false"/>
        <w:rPr/>
      </w:pPr>
      <w:r>
        <w:rPr/>
      </w:r>
    </w:p>
    <w:p>
      <w:pPr>
        <w:pStyle w:val="StandardWW"/>
        <w:spacing w:lineRule="auto" w:line="240"/>
        <w:rPr>
          <w:rFonts w:eastAsia="Mangal"/>
          <w:lang w:eastAsia="hi-IN"/>
        </w:rPr>
      </w:pPr>
      <w:r>
        <w:rPr>
          <w:rFonts w:eastAsia="Mangal"/>
          <w:lang w:eastAsia="hi-IN"/>
        </w:rPr>
      </w:r>
    </w:p>
    <w:p>
      <w:pPr>
        <w:pStyle w:val="StandardWW"/>
        <w:spacing w:lineRule="auto" w:line="240"/>
        <w:rPr>
          <w:rFonts w:eastAsia="Mangal"/>
          <w:lang w:eastAsia="hi-IN"/>
        </w:rPr>
      </w:pPr>
      <w:r>
        <w:rPr>
          <w:rFonts w:eastAsia="Mangal"/>
          <w:lang w:eastAsia="hi-IN"/>
        </w:rPr>
      </w:r>
    </w:p>
    <w:p>
      <w:pPr>
        <w:pStyle w:val="StandardWW"/>
        <w:spacing w:lineRule="auto" w:line="240"/>
        <w:rPr>
          <w:rFonts w:eastAsia="Mangal"/>
          <w:lang w:eastAsia="hi-IN"/>
        </w:rPr>
      </w:pPr>
      <w:r>
        <w:rPr>
          <w:rFonts w:eastAsia="Mangal"/>
          <w:lang w:eastAsia="hi-IN"/>
        </w:rPr>
      </w:r>
    </w:p>
    <w:p>
      <w:pPr>
        <w:pStyle w:val="StandardWW"/>
        <w:spacing w:lineRule="auto" w:line="240"/>
        <w:rPr>
          <w:rFonts w:eastAsia="Mangal"/>
          <w:lang w:eastAsia="hi-IN"/>
        </w:rPr>
      </w:pPr>
      <w:r>
        <w:rPr>
          <w:rFonts w:eastAsia="Mangal"/>
          <w:lang w:eastAsia="hi-IN"/>
        </w:rPr>
      </w:r>
    </w:p>
    <w:p>
      <w:pPr>
        <w:pStyle w:val="Heading1"/>
        <w:numPr>
          <w:ilvl w:val="0"/>
          <w:numId w:val="210"/>
        </w:numPr>
        <w:rPr/>
      </w:pPr>
      <w:bookmarkStart w:id="20" w:name="__RefHeading___Toc6110_3300957195"/>
      <w:bookmarkStart w:id="21" w:name="_Toc178778179"/>
      <w:bookmarkEnd w:id="20"/>
      <w:r>
        <w:rPr/>
        <w:t>VALUTAZIONE DEL NUMERO STIMATO DI PERSONE ESPOSTE AL RUMORE, INDIVIDUAZIONE DEI PROBLEMI E DELLE SITUAZIONI DA MIGLIORARE - Requisito di cui all. 5 D.Lgs. 194/2005 lett.f)</w:t>
      </w:r>
      <w:bookmarkEnd w:id="21"/>
    </w:p>
    <w:p>
      <w:pPr>
        <w:pStyle w:val="StandardWW"/>
        <w:spacing w:lineRule="auto" w:line="240"/>
        <w:rPr>
          <w:rFonts w:eastAsia="Mangal"/>
          <w:lang w:eastAsia="hi-IN"/>
        </w:rPr>
      </w:pPr>
      <w:r>
        <w:rPr>
          <w:rFonts w:eastAsia="Mangal"/>
          <w:lang w:eastAsia="hi-IN"/>
        </w:rPr>
      </w:r>
    </w:p>
    <w:p>
      <w:pPr>
        <w:pStyle w:val="StandardWW"/>
        <w:rPr/>
      </w:pPr>
      <w:r>
        <w:rPr>
          <w:rFonts w:eastAsia="Mangal"/>
          <w:lang w:eastAsia="hi-IN"/>
        </w:rPr>
        <w:t>Dalla mappa acustica strategica si evince la seguente situazione.</w:t>
      </w:r>
    </w:p>
    <w:p>
      <w:pPr>
        <w:pStyle w:val="StandardWW"/>
        <w:rPr/>
      </w:pPr>
      <w:r>
        <w:rPr/>
      </w:r>
    </w:p>
    <w:p>
      <w:pPr>
        <w:pStyle w:val="StandardWW"/>
        <w:rPr>
          <w:rFonts w:eastAsia="Mangal"/>
          <w:lang w:eastAsia="hi-IN"/>
        </w:rPr>
      </w:pPr>
      <w:r>
        <w:rPr>
          <w:rFonts w:eastAsia="Mangal"/>
          <w:lang w:eastAsia="hi-IN"/>
        </w:rPr>
      </w:r>
    </w:p>
    <w:p>
      <w:pPr>
        <w:pStyle w:val="StandardWW"/>
        <w:rPr/>
      </w:pPr>
      <w:r>
        <w:rPr/>
      </w:r>
    </w:p>
    <w:p>
      <w:pPr>
        <w:pStyle w:val="StandardWW"/>
        <w:rPr>
          <w:rFonts w:eastAsia="Mangal"/>
          <w:lang w:eastAsia="hi-IN"/>
        </w:rPr>
      </w:pPr>
      <w:r>
        <w:rPr>
          <w:rFonts w:eastAsia="Mangal"/>
          <w:lang w:eastAsia="hi-IN"/>
        </w:rPr>
      </w:r>
    </w:p>
    <w:p>
      <w:pPr>
        <w:pStyle w:val="Standard"/>
        <w:spacing w:lineRule="auto" w:line="360" w:before="280" w:after="120"/>
        <w:jc w:val="both"/>
        <w:rPr/>
      </w:pPr>
      <w:r>
        <w:rPr>
          <w:rFonts w:cs="Arial" w:ascii="Arial" w:hAnsi="Arial"/>
          <w:sz w:val="20"/>
          <w:szCs w:val="18"/>
          <w:lang w:eastAsia="it-IT"/>
        </w:rPr>
        <w:t>Da quanto esposto in precedenza si rileva che la percentuale di popolazione esposta a livelli sonori superiori alle soglie di potenziale rischio definite a livello internazionale, fissate in un valore di 65 dB(A) di Lden e 55 dB(A) di Lnight è costituita dal traffico veicolare, responsabile per quasi il 99% dell’esposizione della popolazione a Lden &gt; 65 dB(A) e circa il 99 % della popolazione esposta a livelli Lnight &gt; 55 dB(A), mentre la percentuale di popolazione esposta alle altre sorgenti risulta essere inferiore al 1% del totale.</w:t>
      </w:r>
    </w:p>
    <w:p>
      <w:pPr>
        <w:pStyle w:val="NormaleCorpo"/>
        <w:rPr/>
      </w:pPr>
      <w:r>
        <w:rPr/>
      </w:r>
    </w:p>
    <w:p>
      <w:pPr>
        <w:pStyle w:val="Standard"/>
        <w:spacing w:lineRule="auto" w:line="360" w:before="280" w:after="120"/>
        <w:jc w:val="both"/>
        <w:rPr/>
      </w:pPr>
      <w:r>
        <w:rPr>
          <w:rFonts w:cs="Arial" w:ascii="Arial" w:hAnsi="Arial"/>
          <w:sz w:val="20"/>
          <w:szCs w:val="18"/>
          <w:lang w:eastAsia="it-IT"/>
        </w:rPr>
        <w:t>In riferimento alle stime, elaborate nelle precedenti fasi di attuazione della Direttiva 2002/49/CE (piano d'azione 2018), si rileva una diminuzione dell'esposizione al rumore, prodotto dal traffico veicolare, dei residenti nell'Agglomerato in riferimento alle soglie critiche, di circa 10 punti percentuale nell'arco della giornata e 25 punti percentuali nel periodo notturno.</w:t>
      </w:r>
    </w:p>
    <w:p>
      <w:pPr>
        <w:pStyle w:val="StandardWW"/>
        <w:spacing w:lineRule="auto" w:line="240"/>
        <w:rPr>
          <w:rFonts w:eastAsia="Mangal"/>
          <w:lang w:eastAsia="hi-IN"/>
        </w:rPr>
      </w:pPr>
      <w:r>
        <w:rPr>
          <w:rFonts w:eastAsia="Mangal"/>
          <w:lang w:eastAsia="hi-IN"/>
        </w:rPr>
      </w:r>
    </w:p>
    <w:p>
      <w:pPr>
        <w:pStyle w:val="Heading1"/>
        <w:numPr>
          <w:ilvl w:val="0"/>
          <w:numId w:val="211"/>
        </w:numPr>
        <w:rPr/>
      </w:pPr>
      <w:bookmarkStart w:id="22" w:name="__RefHeading___Toc6112_3300957195"/>
      <w:bookmarkStart w:id="23" w:name="_Toc178778180"/>
      <w:bookmarkEnd w:id="22"/>
      <w:r>
        <w:rPr/>
        <w:t>RESOCONTO DELLE CONSULTAZIONI PUBBLICHE ORGANIZZATE AI SENSI DELL’ARTICOLO 8 DEL D.LGS. 194/2005 - Requisito di cui all. 5 D.Lgs. 194/2005 lett.g)</w:t>
      </w:r>
      <w:bookmarkEnd w:id="23"/>
    </w:p>
    <w:p>
      <w:pPr>
        <w:pStyle w:val="StandardWW"/>
        <w:rPr/>
      </w:pPr>
      <w:r>
        <w:rPr/>
      </w:r>
    </w:p>
    <w:p>
      <w:pPr>
        <w:pStyle w:val="NormaleCorpo"/>
        <w:spacing w:lineRule="auto" w:line="360" w:before="280" w:after="120"/>
        <w:rPr/>
      </w:pPr>
      <w:r>
        <w:rPr>
          <w:rFonts w:cs="Arial" w:ascii="Arial" w:hAnsi="Arial"/>
          <w:sz w:val="20"/>
          <w:szCs w:val="22"/>
        </w:rPr>
        <w:t>I documenti relativi alla mappatura acustica realizzata secondo le disposizioni del D.Lgs. 194/2005  sono stati approvati con decreto del Sindaco Metropolitano e successivamente è stata avviata la consultazione pubblica, del Piano d’Azione articolata con i seguenti passaggi:</w:t>
      </w:r>
    </w:p>
    <w:p>
      <w:pPr>
        <w:pStyle w:val="NormaleCorpo"/>
        <w:numPr>
          <w:ilvl w:val="0"/>
          <w:numId w:val="3"/>
        </w:numPr>
        <w:spacing w:lineRule="auto" w:line="360" w:before="280" w:after="120"/>
        <w:rPr>
          <w:rFonts w:ascii="Arial" w:hAnsi="Arial"/>
        </w:rPr>
      </w:pPr>
      <w:r>
        <w:rPr>
          <w:rFonts w:cs="Arial" w:ascii="Arial" w:hAnsi="Arial"/>
          <w:sz w:val="20"/>
          <w:szCs w:val="20"/>
        </w:rPr>
        <w:t xml:space="preserve">Pubblicazione, con avviso pubblico </w:t>
      </w:r>
      <w:r>
        <w:rPr>
          <w:rFonts w:cs="Arial" w:ascii="Arial" w:hAnsi="Arial"/>
          <w:b/>
          <w:bCs/>
          <w:sz w:val="20"/>
          <w:szCs w:val="20"/>
        </w:rPr>
        <w:t xml:space="preserve">in data 23/10/2024, </w:t>
      </w:r>
      <w:r>
        <w:rPr>
          <w:rFonts w:cs="Arial" w:ascii="Arial" w:hAnsi="Arial"/>
          <w:sz w:val="20"/>
          <w:szCs w:val="20"/>
        </w:rPr>
        <w:t xml:space="preserve">del Piano d’azione (Decreto del Sindaco Metropolitano n°175 del 22/10/2024) </w:t>
      </w:r>
      <w:r>
        <w:rPr>
          <w:rFonts w:cs="Arial" w:ascii="Arial" w:hAnsi="Arial"/>
          <w:color w:val="000000"/>
          <w:sz w:val="20"/>
          <w:szCs w:val="20"/>
        </w:rPr>
        <w:t xml:space="preserve">nel sito istituzionale della Città metropolitana di Cagliari e nella sezione Amministrazione Trasparente “informazioni ambientali”, ai sensi del Dlgs 195/2005, sull'accesso pubblico alle informazioni ambientali </w:t>
      </w:r>
      <w:r>
        <w:rPr>
          <w:rFonts w:cs="Calibri" w:ascii="Arial" w:hAnsi="Arial"/>
          <w:color w:val="000000"/>
          <w:sz w:val="20"/>
          <w:szCs w:val="20"/>
        </w:rPr>
        <w:t xml:space="preserve">al fine di ottemperare a quanto disposto  </w:t>
      </w:r>
      <w:r>
        <w:rPr>
          <w:rFonts w:eastAsia="Times New Roman" w:cs="Arial" w:ascii="Arial" w:hAnsi="Arial"/>
          <w:color w:val="000000"/>
          <w:spacing w:val="-2"/>
          <w:sz w:val="20"/>
          <w:szCs w:val="20"/>
          <w:lang w:bidi="ar-SA"/>
        </w:rPr>
        <w:t>dall’articolo 8, comma 2, del D.Lgs. 19 agosto 2005, n° 194</w:t>
      </w:r>
    </w:p>
    <w:p>
      <w:pPr>
        <w:pStyle w:val="NormaleCorpo"/>
        <w:numPr>
          <w:ilvl w:val="0"/>
          <w:numId w:val="3"/>
        </w:numPr>
        <w:spacing w:lineRule="auto" w:line="360" w:before="0" w:after="120"/>
        <w:rPr>
          <w:rFonts w:ascii="Arial" w:hAnsi="Arial"/>
        </w:rPr>
      </w:pPr>
      <w:r>
        <w:rPr>
          <w:rFonts w:eastAsia="Times New Roman" w:cs="Arial" w:ascii="Arial" w:hAnsi="Arial"/>
          <w:color w:val="000000"/>
          <w:spacing w:val="-2"/>
          <w:sz w:val="20"/>
          <w:szCs w:val="20"/>
          <w:lang w:bidi="ar-SA"/>
        </w:rPr>
        <w:t>Convocazione di una riunione da tenersi in data 6/11/2024, con nota Prot.  36401 del 23/10/2024, dei soggetti interessati (Comuni facenti parti dell’agglomerato urbano di Cagliari, aziende di trasporto, società di gestione strade, Aeroporto, Ferrovie ed Autorità Portuale) per la presentazione del Piano d’Azione.</w:t>
      </w:r>
      <w:r>
        <w:rPr>
          <w:rFonts w:cs="Arial" w:ascii="Arial" w:hAnsi="Arial"/>
          <w:sz w:val="20"/>
          <w:szCs w:val="22"/>
        </w:rPr>
        <w:t>con la stessa nota è stato richiesto a tutti i Comuni di pubblicare, a</w:t>
      </w:r>
      <w:r>
        <w:rPr>
          <w:rFonts w:eastAsia="Times New Roman" w:cs="Arial" w:ascii="Arial" w:hAnsi="Arial"/>
          <w:spacing w:val="-2"/>
          <w:sz w:val="20"/>
          <w:szCs w:val="20"/>
          <w:lang w:bidi="ar-SA"/>
        </w:rPr>
        <w:t xml:space="preserve">l fine di garantire la massima pubblicità, la notizia sulla </w:t>
      </w:r>
      <w:r>
        <w:rPr>
          <w:rFonts w:eastAsia="Times New Roman" w:cs="Arial" w:ascii="Arial" w:hAnsi="Arial"/>
          <w:i/>
          <w:iCs/>
          <w:spacing w:val="-2"/>
          <w:sz w:val="20"/>
          <w:szCs w:val="20"/>
          <w:lang w:bidi="ar-SA"/>
        </w:rPr>
        <w:t xml:space="preserve">home page </w:t>
      </w:r>
      <w:r>
        <w:rPr>
          <w:rFonts w:eastAsia="Times New Roman" w:cs="Arial" w:ascii="Arial" w:hAnsi="Arial"/>
          <w:spacing w:val="-2"/>
          <w:sz w:val="20"/>
          <w:szCs w:val="20"/>
          <w:lang w:bidi="ar-SA"/>
        </w:rPr>
        <w:t>del proprio sito web e all’albo pretorio indicando che (così come riportato nell’avviso pubblicato sul sito istituzionale della Città Metropolitana di Cagliari): e</w:t>
      </w:r>
      <w:r>
        <w:rPr>
          <w:rFonts w:eastAsia="Times New Roman" w:cs="Calibri" w:ascii="Arial" w:hAnsi="Arial"/>
          <w:color w:val="000000"/>
          <w:spacing w:val="-2"/>
          <w:sz w:val="20"/>
          <w:szCs w:val="20"/>
          <w:lang w:bidi="ar-SA"/>
        </w:rPr>
        <w:t>ventuali osservazioni, aventi come oggetto “Osservazioni al Piano d’azione”  potranno essere inviate entro 45 giorni dalla pubblicazione dell’avviso sul sito istituzionale della Città Metropolitana</w:t>
      </w:r>
    </w:p>
    <w:p>
      <w:pPr>
        <w:pStyle w:val="NormaleCorpo"/>
        <w:numPr>
          <w:ilvl w:val="0"/>
          <w:numId w:val="3"/>
        </w:numPr>
        <w:spacing w:lineRule="auto" w:line="360" w:before="0" w:after="120"/>
        <w:rPr>
          <w:rFonts w:ascii="Arial" w:hAnsi="Arial"/>
        </w:rPr>
      </w:pPr>
      <w:r>
        <w:rPr>
          <w:rFonts w:cs="Arial" w:ascii="Arial" w:hAnsi="Arial"/>
          <w:sz w:val="20"/>
          <w:szCs w:val="22"/>
        </w:rPr>
        <w:t>con successiva nota Prot. 38183 dell’8/11/2024 è stato chiesto ai comuni interessati di presentare eventuali proposte di intervento sia già programmate sia di nuova realizzazione ricomprese nelle aree critiche o interessanti edifici sensibili così come individuati nella Mappatura/Piano d’Azione. Tale richiesta era finalizzata a valutare la possibilità di poter finanziare interventi ritenuti adeguati</w:t>
      </w:r>
      <w:r>
        <w:rPr>
          <w:rFonts w:cs="Arial" w:ascii="Arial" w:hAnsi="Arial"/>
          <w:sz w:val="20"/>
          <w:szCs w:val="20"/>
        </w:rPr>
        <w:t xml:space="preserve"> grazie ad  un contributo di 1.500.00,00 euro concesso alla Città Metropolitana di Cagliari dalla Regione Autonoma della Sardegna ( Deliberazione della Giunta Regionale  46/12 del 22/12/2023) ai fini dell'attuazione dei piani d'azioni per il contrasto al rumore ambientale  in relazione alle criticità evidenziate.</w:t>
      </w:r>
    </w:p>
    <w:p>
      <w:pPr>
        <w:pStyle w:val="NormaleCorpo"/>
        <w:numPr>
          <w:ilvl w:val="0"/>
          <w:numId w:val="3"/>
        </w:numPr>
        <w:spacing w:lineRule="auto" w:line="360" w:before="0" w:after="120"/>
        <w:rPr>
          <w:rFonts w:ascii="Arial" w:hAnsi="Arial"/>
        </w:rPr>
      </w:pPr>
      <w:r>
        <w:rPr>
          <w:rFonts w:cs="Arial" w:ascii="Arial" w:hAnsi="Arial"/>
          <w:sz w:val="20"/>
          <w:szCs w:val="22"/>
        </w:rPr>
        <w:t>È stato inoltre richiesto sia ai comuni che agli altri soggetti interessati e precedentemente convocati di fornire ogni eventuale dato e/o informazione in loro possesso inerente la tematica trattata.</w:t>
      </w:r>
      <w:r>
        <w:rPr>
          <w:rFonts w:cs="Arial" w:ascii="Arial" w:hAnsi="Arial"/>
          <w:sz w:val="20"/>
          <w:szCs w:val="20"/>
        </w:rPr>
        <w:t>Sono quindi pervenute le seguenti osservazioni/richieste:</w:t>
      </w:r>
    </w:p>
    <w:p>
      <w:pPr>
        <w:pStyle w:val="Oggetto"/>
        <w:suppressAutoHyphens w:val="false"/>
        <w:ind w:firstLine="567" w:left="0"/>
        <w:jc w:val="both"/>
        <w:rPr>
          <w:rFonts w:ascii="Arial" w:hAnsi="Arial" w:cs="Arial"/>
          <w:b w:val="false"/>
          <w:sz w:val="20"/>
          <w:szCs w:val="20"/>
        </w:rPr>
      </w:pPr>
      <w:r>
        <w:rPr>
          <w:rFonts w:cs="Arial" w:ascii="Arial" w:hAnsi="Arial"/>
          <w:b w:val="false"/>
          <w:sz w:val="20"/>
          <w:szCs w:val="20"/>
        </w:rPr>
        <w:t>con nota Prot. 38765 del 13/11/2024 di cui al Prot. 40181 del 21/11/2024  il comune di Assemini ha presentato una proposta di intervento nelle aree individuate come critiche per un importo di 450.000,00 euro</w:t>
      </w:r>
    </w:p>
    <w:p>
      <w:pPr>
        <w:pStyle w:val="Oggetto"/>
        <w:suppressAutoHyphens w:val="false"/>
        <w:ind w:firstLine="567" w:left="0"/>
        <w:jc w:val="both"/>
        <w:rPr>
          <w:rFonts w:ascii="Arial" w:hAnsi="Arial" w:eastAsia="Times New Roman" w:cs="Arial"/>
          <w:b w:val="false"/>
          <w:color w:val="000000"/>
          <w:spacing w:val="-2"/>
          <w:sz w:val="20"/>
          <w:szCs w:val="20"/>
          <w:lang w:bidi="ar-SA"/>
        </w:rPr>
      </w:pPr>
      <w:r>
        <w:rPr>
          <w:rFonts w:eastAsia="Times New Roman" w:cs="Arial" w:ascii="Arial" w:hAnsi="Arial"/>
          <w:b w:val="false"/>
          <w:color w:val="000000"/>
          <w:spacing w:val="-2"/>
          <w:sz w:val="20"/>
          <w:szCs w:val="20"/>
          <w:lang w:bidi="ar-SA"/>
        </w:rPr>
        <w:t>con nota CTM Prot. 27843 del 20/11/2024 di cui al Prot. 39839 di pari data  sono state inviate informazioni aggiornate alla tipologia del parco mezzi e agli interventi di prossima realizzazione previsti.</w:t>
      </w:r>
    </w:p>
    <w:p>
      <w:pPr>
        <w:pStyle w:val="Oggetto"/>
        <w:suppressAutoHyphens w:val="false"/>
        <w:ind w:firstLine="567" w:left="0"/>
        <w:jc w:val="both"/>
        <w:rPr>
          <w:rFonts w:ascii="Arial" w:hAnsi="Arial"/>
          <w:b w:val="false"/>
          <w:sz w:val="20"/>
          <w:szCs w:val="20"/>
        </w:rPr>
      </w:pPr>
      <w:r>
        <w:rPr>
          <w:rFonts w:cs="Arial" w:ascii="Arial" w:hAnsi="Arial"/>
          <w:b w:val="false"/>
          <w:sz w:val="20"/>
          <w:szCs w:val="20"/>
        </w:rPr>
        <w:t>con nota ARST Prot. 28309 del 21/11/2024 di cui al Prot. 40163 di pari data è stata inviata documentazione inerente l</w:t>
      </w:r>
      <w:r>
        <w:rPr>
          <w:rFonts w:cs="Arial" w:ascii="Arial" w:hAnsi="Arial"/>
          <w:b w:val="false"/>
          <w:sz w:val="20"/>
          <w:szCs w:val="20"/>
          <w:lang w:eastAsia="hi-IN"/>
        </w:rPr>
        <w:t>’impatto acustico degli i</w:t>
      </w:r>
      <w:r>
        <w:rPr>
          <w:rFonts w:cs="Arial" w:ascii="Arial" w:hAnsi="Arial"/>
          <w:b w:val="false"/>
          <w:sz w:val="20"/>
          <w:szCs w:val="20"/>
        </w:rPr>
        <w:t>nterventi programmati riguardante la metropolitana leggera</w:t>
      </w:r>
    </w:p>
    <w:p>
      <w:pPr>
        <w:pStyle w:val="Oggetto"/>
        <w:suppressAutoHyphens w:val="false"/>
        <w:ind w:firstLine="567" w:left="0"/>
        <w:jc w:val="both"/>
        <w:rPr>
          <w:rFonts w:ascii="Arial" w:hAnsi="Arial"/>
          <w:b w:val="false"/>
          <w:sz w:val="20"/>
          <w:szCs w:val="20"/>
        </w:rPr>
      </w:pPr>
      <w:r>
        <w:rPr>
          <w:rFonts w:ascii="Arial" w:hAnsi="Arial"/>
          <w:b w:val="false"/>
          <w:sz w:val="20"/>
          <w:szCs w:val="20"/>
        </w:rPr>
        <w:t xml:space="preserve">con nota di cui al Prot. 53891 del 4/12/2024 di cui al Prot. 42018 del 4/12/2024 il comune di </w:t>
      </w:r>
      <w:r>
        <w:rPr>
          <w:rFonts w:ascii="Arial" w:hAnsi="Arial"/>
          <w:b w:val="false"/>
          <w:sz w:val="20"/>
          <w:szCs w:val="20"/>
          <w:lang w:eastAsia="hi-IN"/>
        </w:rPr>
        <w:t>Selargius</w:t>
      </w:r>
      <w:r>
        <w:rPr>
          <w:rFonts w:ascii="Arial" w:hAnsi="Arial"/>
          <w:b w:val="false"/>
          <w:sz w:val="20"/>
          <w:szCs w:val="20"/>
        </w:rPr>
        <w:t xml:space="preserve"> ha presentato osservazioni relativamente ai recettori sensibili</w:t>
      </w:r>
    </w:p>
    <w:p>
      <w:pPr>
        <w:pStyle w:val="Oggetto"/>
        <w:suppressAutoHyphens w:val="false"/>
        <w:ind w:firstLine="567" w:left="0"/>
        <w:jc w:val="both"/>
        <w:rPr>
          <w:rFonts w:ascii="Arial" w:hAnsi="Arial"/>
          <w:b w:val="false"/>
          <w:sz w:val="20"/>
          <w:szCs w:val="20"/>
        </w:rPr>
      </w:pPr>
      <w:r>
        <w:rPr>
          <w:rFonts w:cs="Arial" w:ascii="Arial" w:hAnsi="Arial"/>
          <w:b w:val="false"/>
          <w:sz w:val="20"/>
          <w:szCs w:val="20"/>
        </w:rPr>
        <w:t xml:space="preserve">con nota di cui al Prot. 42597 </w:t>
      </w:r>
      <w:r>
        <w:rPr>
          <w:rFonts w:cs="Arial" w:ascii="Arial" w:hAnsi="Arial"/>
          <w:b w:val="false"/>
          <w:sz w:val="20"/>
          <w:szCs w:val="20"/>
          <w:lang w:eastAsia="hi-IN"/>
        </w:rPr>
        <w:t>del 9/12/2024</w:t>
      </w:r>
      <w:r>
        <w:rPr>
          <w:rFonts w:cs="Arial" w:ascii="Arial" w:hAnsi="Arial"/>
          <w:b w:val="false"/>
          <w:sz w:val="20"/>
          <w:szCs w:val="20"/>
        </w:rPr>
        <w:t xml:space="preserve">  il comune di Quartu Sant</w:t>
      </w:r>
      <w:r>
        <w:rPr>
          <w:rFonts w:cs="Arial" w:ascii="Arial" w:hAnsi="Arial"/>
          <w:b w:val="false"/>
          <w:sz w:val="20"/>
          <w:szCs w:val="20"/>
          <w:lang w:eastAsia="hi-IN"/>
        </w:rPr>
        <w:t xml:space="preserve">’Elena </w:t>
      </w:r>
      <w:r>
        <w:rPr>
          <w:rFonts w:cs="Arial" w:ascii="Arial" w:hAnsi="Arial"/>
          <w:b w:val="false"/>
          <w:sz w:val="20"/>
          <w:szCs w:val="20"/>
        </w:rPr>
        <w:t xml:space="preserve"> ha presentato una proposta di intervento nelle aree individuate come critiche per un importo di € 188.000</w:t>
      </w:r>
    </w:p>
    <w:p>
      <w:pPr>
        <w:pStyle w:val="Oggetto"/>
        <w:suppressAutoHyphens w:val="false"/>
        <w:ind w:firstLine="567" w:left="0"/>
        <w:jc w:val="both"/>
        <w:rPr>
          <w:rFonts w:ascii="Arial" w:hAnsi="Arial"/>
          <w:b w:val="false"/>
          <w:sz w:val="20"/>
          <w:szCs w:val="20"/>
        </w:rPr>
      </w:pP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con nota Prot.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43455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 del </w:t>
      </w:r>
      <w:r>
        <w:rPr>
          <w:rFonts w:eastAsia="Times New Roman" w:cs="Arial" w:ascii="Arial" w:hAnsi="Arial"/>
          <w:b w:val="false"/>
          <w:bCs w:val="false"/>
          <w:i w:val="false"/>
          <w:iCs w:val="false"/>
          <w:color w:val="000000"/>
          <w:spacing w:val="-2"/>
          <w:sz w:val="20"/>
          <w:szCs w:val="20"/>
          <w:u w:val="none"/>
          <w:shd w:fill="auto" w:val="clear"/>
          <w:lang w:val="it-IT" w:eastAsia="zxx" w:bidi="ar-SA"/>
        </w:rPr>
        <w:t>13/12/2024</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il Comune di Cagliari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  ha presentato una proposta di intervento nelle aree indivuiduate come critiche per un importo di </w:t>
      </w:r>
      <w:r>
        <w:rPr>
          <w:rFonts w:eastAsia="Times New Roman" w:cs="Arial" w:ascii="Arial" w:hAnsi="Arial"/>
          <w:b w:val="false"/>
          <w:bCs w:val="false"/>
          <w:i w:val="false"/>
          <w:iCs w:val="false"/>
          <w:color w:val="000000"/>
          <w:spacing w:val="-2"/>
          <w:sz w:val="20"/>
          <w:szCs w:val="20"/>
          <w:u w:val="none"/>
          <w:shd w:fill="auto" w:val="clear"/>
          <w:lang w:val="it-IT" w:eastAsia="zxx" w:bidi="ar-SA"/>
        </w:rPr>
        <w:t>€ 3.675.216,00.</w:t>
      </w:r>
    </w:p>
    <w:p>
      <w:pPr>
        <w:pStyle w:val="Oggetto"/>
        <w:suppressAutoHyphens w:val="false"/>
        <w:ind w:firstLine="567" w:left="0"/>
        <w:jc w:val="both"/>
        <w:rPr>
          <w:rFonts w:ascii="Arial" w:hAnsi="Arial"/>
          <w:b w:val="false"/>
          <w:sz w:val="20"/>
          <w:szCs w:val="20"/>
        </w:rPr>
      </w:pPr>
      <w:r>
        <w:rPr>
          <w:rFonts w:ascii="Arial" w:hAnsi="Arial"/>
          <w:b w:val="false"/>
          <w:sz w:val="20"/>
          <w:szCs w:val="20"/>
        </w:rPr>
      </w:r>
    </w:p>
    <w:p>
      <w:pPr>
        <w:pStyle w:val="NormaleCorpo"/>
        <w:spacing w:lineRule="auto" w:line="360" w:before="0" w:after="120"/>
        <w:rPr/>
      </w:pPr>
      <w:r>
        <w:rPr>
          <w:rFonts w:cs="Arial" w:ascii="Arial" w:hAnsi="Arial"/>
          <w:sz w:val="20"/>
          <w:szCs w:val="20"/>
        </w:rPr>
        <w:t>Il piano come disposto dall</w:t>
      </w:r>
      <w:r>
        <w:rPr>
          <w:rFonts w:eastAsia="Times New Roman" w:cs="Arial" w:ascii="Arial" w:hAnsi="Arial"/>
          <w:color w:val="000000"/>
          <w:spacing w:val="-2"/>
          <w:sz w:val="20"/>
          <w:szCs w:val="20"/>
          <w:lang w:bidi="ar-SA"/>
        </w:rPr>
        <w:t xml:space="preserve">’articolo 8, comma 2, del D.Lgs. 19 agosto 2005, n° 194 è stato reso disponibile per 45 giorni (sino al 9 /12/2024) al fine di permettere a tutti gli interessati di presentare osservazioni. A tal fine sono state rese disponibili 3 modalità per presentare osservazioni: </w:t>
      </w:r>
      <w:r>
        <w:rPr>
          <w:rFonts w:eastAsia="Times New Roman" w:cs="Calibri" w:ascii="Arial" w:hAnsi="Arial"/>
          <w:color w:val="000000"/>
          <w:spacing w:val="-2"/>
          <w:sz w:val="20"/>
          <w:szCs w:val="20"/>
          <w:lang w:bidi="ar-SA"/>
        </w:rPr>
        <w:t>all’indirizzo PEC della Città Metropolitana di Cagliari: ambiente</w:t>
      </w:r>
      <w:hyperlink r:id="rId3">
        <w:r>
          <w:rPr>
            <w:rStyle w:val="ListLabel1702"/>
            <w:rFonts w:eastAsia="Times New Roman" w:cs="Arial" w:ascii="Arial" w:hAnsi="Arial"/>
            <w:color w:val="000000"/>
            <w:spacing w:val="-2"/>
            <w:sz w:val="20"/>
            <w:szCs w:val="20"/>
            <w:u w:val="single"/>
            <w:lang w:bidi="ar-SA"/>
          </w:rPr>
          <w:t>@pec.cittametropolitanacagliari.it</w:t>
        </w:r>
      </w:hyperlink>
      <w:r>
        <w:rPr>
          <w:rFonts w:eastAsia="Times New Roman" w:cs="Calibri" w:ascii="Arial" w:hAnsi="Arial"/>
          <w:color w:val="000000"/>
          <w:spacing w:val="-2"/>
          <w:sz w:val="20"/>
          <w:szCs w:val="20"/>
          <w:lang w:bidi="ar-SA"/>
        </w:rPr>
        <w:t xml:space="preserve">,  o all’indirizzo mail: </w:t>
      </w:r>
      <w:hyperlink r:id="rId4">
        <w:r>
          <w:rPr>
            <w:rStyle w:val="ListLabel1702"/>
            <w:rFonts w:eastAsia="Times New Roman" w:cs="Arial" w:ascii="Arial" w:hAnsi="Arial"/>
            <w:color w:val="000000"/>
            <w:spacing w:val="-2"/>
            <w:sz w:val="20"/>
            <w:szCs w:val="20"/>
            <w:u w:val="single"/>
            <w:lang w:bidi="ar-SA"/>
          </w:rPr>
          <w:t>osservazionipda@cittametropolitanacagliari.it</w:t>
        </w:r>
      </w:hyperlink>
      <w:r>
        <w:rPr>
          <w:rFonts w:eastAsia="Times New Roman" w:cs="Calibri" w:ascii="Arial" w:hAnsi="Arial"/>
          <w:color w:val="000000"/>
          <w:spacing w:val="-2"/>
          <w:sz w:val="20"/>
          <w:szCs w:val="20"/>
          <w:lang w:bidi="ar-SA"/>
        </w:rPr>
        <w:t xml:space="preserve">, o tramite la piattaforma istanze on line all’indirizzo </w:t>
      </w:r>
      <w:hyperlink r:id="rId5">
        <w:r>
          <w:rPr>
            <w:rStyle w:val="ListLabel1702"/>
            <w:rFonts w:eastAsia="Times New Roman" w:cs="Arial" w:ascii="Arial" w:hAnsi="Arial"/>
            <w:color w:val="000000"/>
            <w:spacing w:val="-2"/>
            <w:sz w:val="20"/>
            <w:szCs w:val="20"/>
            <w:u w:val="single"/>
            <w:lang w:bidi="ar-SA"/>
          </w:rPr>
          <w:t>https://istanze.cittametropolitanacagliari.it/portal/servizi/moduli/pre_auth</w:t>
        </w:r>
      </w:hyperlink>
      <w:r>
        <w:rPr>
          <w:rFonts w:eastAsia="Times New Roman" w:cs="Calibri" w:ascii="Arial" w:hAnsi="Arial"/>
          <w:color w:val="000000"/>
          <w:spacing w:val="-2"/>
          <w:sz w:val="20"/>
          <w:szCs w:val="20"/>
          <w:lang w:bidi="ar-SA"/>
        </w:rPr>
        <w:t>, sezione Osservazioni Piano Azione.</w:t>
      </w:r>
    </w:p>
    <w:p>
      <w:pPr>
        <w:pStyle w:val="Heading1"/>
        <w:numPr>
          <w:ilvl w:val="0"/>
          <w:numId w:val="212"/>
        </w:numPr>
        <w:rPr/>
      </w:pPr>
      <w:bookmarkStart w:id="24" w:name="__RefHeading___Toc6665_3300957195"/>
      <w:bookmarkStart w:id="25" w:name="_Toc178778181"/>
      <w:bookmarkEnd w:id="24"/>
      <w:r>
        <w:rPr/>
        <w:t>MISURE ANTIRUMORE IN ATTO E IN FASE DI PREPARAZIONE, INTERVENTI PIANIFICATI PER I SUCCESSIVI CINQUE ANNI E STRATEGIA DI LUNGO TERMINE - piani di risanamento acustico delle infrastrutture di trasporto - Requisiti di cui all. 5 D.Lgs. 194/2005 lett.h) – i) - l)</w:t>
      </w:r>
      <w:bookmarkEnd w:id="25"/>
    </w:p>
    <w:p>
      <w:pPr>
        <w:pStyle w:val="TextbodyWW"/>
        <w:rPr/>
      </w:pPr>
      <w:r>
        <w:rPr/>
      </w:r>
    </w:p>
    <w:p>
      <w:pPr>
        <w:pStyle w:val="NormaleCorpo"/>
        <w:spacing w:lineRule="auto" w:line="360" w:before="280" w:after="120"/>
        <w:rPr/>
      </w:pPr>
      <w:r>
        <w:rPr>
          <w:rFonts w:cs="Arial" w:ascii="Arial" w:hAnsi="Arial"/>
          <w:sz w:val="20"/>
          <w:szCs w:val="22"/>
        </w:rPr>
        <w:t>I comuni ricadenti nell'Agglomerato di Cagliari non hanno ancora predisposto i piani  di risanamento acustico previsti dalla L.q. 447/1995 e dalle Direttive Regionali D.G.R. 62/9-2008. Gli interventi (barriere, asfalti fonoassorbenti, fluidificazione/regolamentazione traffico, rotonde, ecc.) con effetti sulla mitigazione del rumore sono stati, negli anni passati, eseguiti in modo puntuale e non inseriti in una programmazione legata al risanamento acustico ma in altre programmazioni quali opere pubbliche, viabilità ecc. Gli interventi del Comune di Cagliari di costruzione delle rotatorie, al fine di una fluidificazione del traffico con effetti anche di contenimento della rumorosità, indicati nel precedente piano d'azione (ed.2013) sono stati completati.</w:t>
      </w:r>
    </w:p>
    <w:p>
      <w:pPr>
        <w:pStyle w:val="NormaleCorpo"/>
        <w:spacing w:lineRule="auto" w:line="360" w:before="280" w:after="120"/>
        <w:rPr/>
      </w:pPr>
      <w:r>
        <w:rPr>
          <w:rFonts w:cs="Arial" w:ascii="Arial" w:hAnsi="Arial"/>
          <w:sz w:val="20"/>
          <w:szCs w:val="22"/>
        </w:rPr>
        <w:t>Sulla base delle elaborazioni eseguite da ARPAS risultano evidenti criticità relative all’esposizione al rumore da traffico veicolare nel periodo diurno in alcune zone del Comune d Quartu Sant’Elena e Cagliari, che verranno discusse in uno specifico tavolo tecnico finalizzato a proporre interventi per la riduzione della popolazione esposta.</w:t>
      </w:r>
    </w:p>
    <w:p>
      <w:pPr>
        <w:pStyle w:val="NormaleCorpo"/>
        <w:spacing w:lineRule="auto" w:line="360" w:before="280" w:after="120"/>
        <w:rPr/>
      </w:pPr>
      <w:r>
        <w:rPr>
          <w:rFonts w:cs="Arial" w:ascii="Arial" w:hAnsi="Arial"/>
          <w:sz w:val="20"/>
          <w:szCs w:val="22"/>
        </w:rPr>
        <w:t>La tipologia generale di intervento proposta consisterà sostanzialmente in</w:t>
      </w:r>
    </w:p>
    <w:p>
      <w:pPr>
        <w:pStyle w:val="NormaleCorpo"/>
        <w:numPr>
          <w:ilvl w:val="0"/>
          <w:numId w:val="213"/>
        </w:numPr>
        <w:spacing w:lineRule="auto" w:line="360" w:before="280" w:after="120"/>
        <w:rPr/>
      </w:pPr>
      <w:r>
        <w:rPr>
          <w:rFonts w:cs="Arial" w:ascii="Arial" w:hAnsi="Arial"/>
          <w:sz w:val="20"/>
          <w:szCs w:val="22"/>
        </w:rPr>
        <w:t>riduzione della velocità con limiti di 30 km/h</w:t>
      </w:r>
    </w:p>
    <w:p>
      <w:pPr>
        <w:pStyle w:val="NormaleCorpo"/>
        <w:numPr>
          <w:ilvl w:val="0"/>
          <w:numId w:val="214"/>
        </w:numPr>
        <w:spacing w:lineRule="auto" w:line="360" w:before="0" w:after="120"/>
        <w:rPr/>
      </w:pPr>
      <w:r>
        <w:rPr>
          <w:rFonts w:cs="Arial" w:ascii="Arial" w:hAnsi="Arial"/>
          <w:sz w:val="20"/>
          <w:szCs w:val="22"/>
        </w:rPr>
        <w:t>rimodulazione/regolamentazione del traffico cosiddetto “pesante”</w:t>
      </w:r>
    </w:p>
    <w:p>
      <w:pPr>
        <w:pStyle w:val="NormaleCorpo"/>
        <w:spacing w:lineRule="auto" w:line="360" w:before="280" w:after="120"/>
        <w:rPr/>
      </w:pPr>
      <w:r>
        <w:rPr>
          <w:rFonts w:cs="Arial" w:ascii="Arial" w:hAnsi="Arial"/>
          <w:sz w:val="20"/>
          <w:szCs w:val="22"/>
        </w:rPr>
        <w:t>Questi interventi hanno un significato di tipo generale e applicabili in casi omologhi per la mitigazione del disturbo dal rumore da traffico veicolare (principale sorgente disturbante sulla popolazione nell'Agglomerato studiato), ovvero diminuire la popolazione esposta nelle classi più alte di dB indicati dal D.Lgs. 194/2005.</w:t>
      </w:r>
    </w:p>
    <w:p>
      <w:pPr>
        <w:pStyle w:val="NormaleCorpo"/>
        <w:spacing w:lineRule="auto" w:line="360" w:before="280" w:after="120"/>
        <w:rPr/>
      </w:pPr>
      <w:r>
        <w:rPr>
          <w:rFonts w:cs="Arial" w:ascii="Arial" w:hAnsi="Arial"/>
          <w:sz w:val="20"/>
          <w:szCs w:val="22"/>
        </w:rPr>
        <w:t>I gestori dei trasporti pubblici e/o delle relative infrastrutture hanno, negli anni passati, elaborato dei piani di contenimento del rumore ai sensi del D.M. 29/11/2000 (ANAS, RFI) ma non hanno completato e in alcuni casi dato avvio agli interventi pianificati.</w:t>
      </w:r>
    </w:p>
    <w:p>
      <w:pPr>
        <w:pStyle w:val="NormaleCorpo"/>
        <w:spacing w:lineRule="auto" w:line="360" w:before="280" w:after="120"/>
        <w:rPr/>
      </w:pPr>
      <w:r>
        <w:rPr>
          <w:rFonts w:cs="Arial" w:ascii="Arial" w:hAnsi="Arial"/>
          <w:sz w:val="20"/>
          <w:szCs w:val="22"/>
          <w:shd w:fill="auto" w:val="clear"/>
        </w:rPr>
        <w:t xml:space="preserve">Si prevede inoltre la possibilità di intervenire con azioni strutturali ulteriori interventi (asfalto fonoassorbente protezioni fonoassorbenti  grazie ad un finanziamento regionale (vedi  capitolo </w:t>
      </w:r>
      <w:hyperlink w:anchor="_Toc178778200">
        <w:r>
          <w:rPr>
            <w:rStyle w:val="ListLabel1703"/>
            <w:rFonts w:cs="Arial" w:ascii="Arial" w:hAnsi="Arial"/>
            <w:sz w:val="18"/>
            <w:szCs w:val="20"/>
            <w:shd w:fill="auto" w:val="clear"/>
          </w:rPr>
          <w:t>10.</w:t>
        </w:r>
        <w:r>
          <w:rPr>
            <w:rStyle w:val="ListLabel1703"/>
            <w:rFonts w:cs="Arial" w:ascii="Arial" w:hAnsi="Arial"/>
            <w:kern w:val="0"/>
            <w:sz w:val="18"/>
            <w:szCs w:val="20"/>
            <w:shd w:fill="auto" w:val="clear"/>
            <w:lang w:eastAsia="it-IT" w:bidi="ar-SA"/>
          </w:rPr>
          <w:tab/>
        </w:r>
        <w:r>
          <w:rPr>
            <w:rStyle w:val="ListLabel1703"/>
            <w:rFonts w:cs="Arial" w:ascii="Arial" w:hAnsi="Arial"/>
            <w:sz w:val="18"/>
            <w:szCs w:val="20"/>
            <w:shd w:fill="auto" w:val="clear"/>
          </w:rPr>
          <w:t>INFORMAZIONI DI CARATTERE FINANZIARIO – Requisito di cui all. 5 D.Lgs. 194/2005 lett.m</w:t>
        </w:r>
      </w:hyperlink>
      <w:r>
        <w:rPr>
          <w:rFonts w:cs="Arial" w:ascii="Arial" w:hAnsi="Arial"/>
          <w:sz w:val="18"/>
          <w:szCs w:val="20"/>
          <w:shd w:fill="auto" w:val="clear"/>
        </w:rPr>
        <w:t>)</w:t>
      </w:r>
    </w:p>
    <w:p>
      <w:pPr>
        <w:pStyle w:val="TextbodyWW"/>
        <w:rPr>
          <w:shd w:fill="FFFF00" w:val="clear"/>
        </w:rPr>
      </w:pPr>
      <w:r>
        <w:rPr>
          <w:shd w:fill="FFFF00" w:val="clear"/>
        </w:rPr>
      </w:r>
    </w:p>
    <w:p>
      <w:pPr>
        <w:pStyle w:val="Heading2"/>
        <w:numPr>
          <w:ilvl w:val="1"/>
          <w:numId w:val="215"/>
        </w:numPr>
        <w:rPr/>
      </w:pPr>
      <w:bookmarkStart w:id="26" w:name="__RefHeading__7_468148522"/>
      <w:bookmarkStart w:id="27" w:name="_Toc178778182"/>
      <w:bookmarkEnd w:id="26"/>
      <w:r>
        <w:rPr/>
        <w:t>PIANI DI RISANAMENTO ACUSTICO DELLE INFRASTRUTTURE STRADALI</w:t>
      </w:r>
      <w:bookmarkEnd w:id="27"/>
    </w:p>
    <w:p>
      <w:pPr>
        <w:pStyle w:val="NormaleCorpo"/>
        <w:spacing w:lineRule="auto" w:line="360" w:before="280" w:after="120"/>
        <w:rPr/>
      </w:pPr>
      <w:r>
        <w:rPr>
          <w:rFonts w:cs="Arial" w:ascii="Arial" w:hAnsi="Arial"/>
          <w:sz w:val="22"/>
          <w:szCs w:val="22"/>
        </w:rPr>
        <w:t>Per i gestori dei servizi di trasporto pubblico e i gestori delle infrastrutture stradali, la normativa vigente - Legge Quadro 447/1995</w:t>
      </w:r>
      <w:r>
        <w:rPr>
          <w:rFonts w:cs="Arial" w:ascii="Arial" w:hAnsi="Arial"/>
          <w:i/>
          <w:iCs/>
          <w:sz w:val="22"/>
          <w:szCs w:val="22"/>
        </w:rPr>
        <w:t xml:space="preserve"> </w:t>
      </w:r>
      <w:r>
        <w:rPr>
          <w:rFonts w:cs="Arial" w:ascii="Arial" w:hAnsi="Arial"/>
          <w:sz w:val="22"/>
          <w:szCs w:val="22"/>
        </w:rPr>
        <w:t>e D.M. Ambiente del 29/11/2000 “Criteri per la predisposizione dei piani degli interventi di contenimento e abbattimento del rumore” - prevede che “</w:t>
      </w:r>
      <w:r>
        <w:rPr>
          <w:rFonts w:cs="Arial" w:ascii="Arial" w:hAnsi="Arial"/>
          <w:i/>
          <w:iCs/>
          <w:sz w:val="22"/>
          <w:szCs w:val="22"/>
        </w:rPr>
        <w:t>le società e gli enti gestori, in caso di superamento dei valori limite previsti dalla normativa, hanno l’obbligo di predisporre piani di contenimento ed abbattimento del rumore e sono obbligati ad impegnare per il risanamento una quota fissa, non inferiore al 5% dei fondi di bilancio previsti per le attività di manutenzione e di potenziamento delle infrastrutture stesse, per l’adozione di interventi di contenimento ed abbattimento del rumore”</w:t>
      </w:r>
      <w:r>
        <w:rPr>
          <w:rFonts w:cs="Arial" w:ascii="Arial" w:hAnsi="Arial"/>
          <w:sz w:val="22"/>
          <w:szCs w:val="22"/>
        </w:rPr>
        <w:t>.</w:t>
      </w:r>
    </w:p>
    <w:p>
      <w:pPr>
        <w:pStyle w:val="NormaleCorpo"/>
        <w:spacing w:lineRule="auto" w:line="360" w:before="280" w:after="120"/>
        <w:rPr/>
      </w:pPr>
      <w:r>
        <w:rPr>
          <w:rFonts w:cs="Arial" w:ascii="Arial" w:hAnsi="Arial"/>
          <w:sz w:val="22"/>
          <w:szCs w:val="22"/>
        </w:rPr>
        <w:t>Inoltre, le società di trasporto pubblico e gli enti gestori di infrastrutture stradali su cui transitano più di 3.000.000 di veicoli all’anno, devono predisporre le relative “mappature acustiche” e i correlati piani di azione ai sensi del D.Lgs. 194/2005.</w:t>
      </w:r>
    </w:p>
    <w:p>
      <w:pPr>
        <w:pStyle w:val="NormaleCorpo"/>
        <w:spacing w:lineRule="auto" w:line="360" w:before="280" w:after="120"/>
        <w:rPr/>
      </w:pPr>
      <w:r>
        <w:rPr>
          <w:rFonts w:cs="Arial" w:ascii="Arial" w:hAnsi="Arial"/>
          <w:sz w:val="22"/>
          <w:szCs w:val="22"/>
        </w:rPr>
        <w:t xml:space="preserve">Nel caso in esame le società o enti gestori soggetti al D.M. 29/11/2000 sono riportati nella </w:t>
      </w:r>
      <w:r>
        <w:rPr>
          <w:rFonts w:cs="Arial" w:ascii="Arial" w:hAnsi="Arial"/>
          <w:sz w:val="22"/>
          <w:szCs w:val="22"/>
        </w:rPr>
        <w:fldChar w:fldCharType="begin"/>
      </w:r>
      <w:r>
        <w:rPr>
          <w:sz w:val="22"/>
          <w:szCs w:val="22"/>
          <w:rFonts w:cs="Arial" w:ascii="Arial" w:hAnsi="Arial"/>
        </w:rPr>
        <w:instrText xml:space="preserve"> REF _Ref171955967 \h </w:instrText>
      </w:r>
      <w:r>
        <w:rPr>
          <w:sz w:val="22"/>
          <w:szCs w:val="22"/>
          <w:rFonts w:cs="Arial" w:ascii="Arial" w:hAnsi="Arial"/>
        </w:rPr>
        <w:fldChar w:fldCharType="separate"/>
      </w:r>
      <w:r>
        <w:rPr>
          <w:sz w:val="22"/>
          <w:szCs w:val="22"/>
          <w:rFonts w:cs="Arial" w:ascii="Arial" w:hAnsi="Arial"/>
        </w:rPr>
        <w:t>Tabella 9.6</w:t>
      </w:r>
      <w:r>
        <w:rPr>
          <w:sz w:val="22"/>
          <w:szCs w:val="22"/>
          <w:rFonts w:cs="Arial" w:ascii="Arial" w:hAnsi="Arial"/>
        </w:rPr>
        <w:fldChar w:fldCharType="end"/>
      </w:r>
      <w:r>
        <w:rPr>
          <w:rFonts w:cs="Arial" w:ascii="Arial" w:hAnsi="Arial"/>
          <w:sz w:val="22"/>
          <w:szCs w:val="22"/>
        </w:rPr>
        <w:t>.</w:t>
      </w:r>
    </w:p>
    <w:p>
      <w:pPr>
        <w:pStyle w:val="FigureTabelle"/>
        <w:rPr/>
      </w:pPr>
      <w:bookmarkStart w:id="28" w:name="_Toc171964386"/>
      <w:bookmarkStart w:id="29" w:name="_Ref171955967"/>
      <w:r>
        <w:rPr/>
        <w:t>Tabella 9.6</w:t>
      </w:r>
      <w:bookmarkEnd w:id="29"/>
      <w:r>
        <w:rPr/>
        <w:t xml:space="preserve"> – Società o enti gestori soggetti al D.M. 29/11/2000</w:t>
      </w:r>
      <w:bookmarkEnd w:id="28"/>
    </w:p>
    <w:tbl>
      <w:tblPr>
        <w:tblW w:w="9355" w:type="dxa"/>
        <w:jc w:val="center"/>
        <w:tblInd w:w="0" w:type="dxa"/>
        <w:tblLayout w:type="fixed"/>
        <w:tblCellMar>
          <w:top w:w="57" w:type="dxa"/>
          <w:left w:w="57" w:type="dxa"/>
          <w:bottom w:w="57" w:type="dxa"/>
          <w:right w:w="57" w:type="dxa"/>
        </w:tblCellMar>
        <w:tblLook w:firstRow="0" w:noVBand="0" w:lastRow="0" w:firstColumn="0" w:lastColumn="0" w:noHBand="0" w:val="0000"/>
      </w:tblPr>
      <w:tblGrid>
        <w:gridCol w:w="2272"/>
        <w:gridCol w:w="2316"/>
        <w:gridCol w:w="1724"/>
        <w:gridCol w:w="3042"/>
      </w:tblGrid>
      <w:tr>
        <w:trPr>
          <w:tblHeader w:val="true"/>
        </w:trPr>
        <w:tc>
          <w:tcPr>
            <w:tcW w:w="2272" w:type="dxa"/>
            <w:tcBorders>
              <w:top w:val="single" w:sz="4" w:space="0" w:color="000000"/>
              <w:left w:val="single" w:sz="4" w:space="0" w:color="000000"/>
              <w:bottom w:val="single" w:sz="4" w:space="0" w:color="000000"/>
            </w:tcBorders>
            <w:shd w:color="auto" w:fill="BFBFBF" w:val="clear"/>
            <w:vAlign w:val="center"/>
          </w:tcPr>
          <w:p>
            <w:pPr>
              <w:pStyle w:val="StandardWW"/>
              <w:snapToGrid w:val="false"/>
              <w:spacing w:lineRule="auto" w:line="240"/>
              <w:jc w:val="left"/>
              <w:rPr/>
            </w:pPr>
            <w:r>
              <w:rPr>
                <w:b/>
                <w:sz w:val="18"/>
                <w:szCs w:val="18"/>
              </w:rPr>
              <w:t>Ente gestore</w:t>
            </w:r>
          </w:p>
        </w:tc>
        <w:tc>
          <w:tcPr>
            <w:tcW w:w="2316" w:type="dxa"/>
            <w:tcBorders>
              <w:top w:val="single" w:sz="4" w:space="0" w:color="000000"/>
              <w:left w:val="single" w:sz="4" w:space="0" w:color="000000"/>
              <w:bottom w:val="single" w:sz="4" w:space="0" w:color="000000"/>
            </w:tcBorders>
            <w:shd w:color="auto" w:fill="BFBFBF" w:val="clear"/>
            <w:vAlign w:val="center"/>
          </w:tcPr>
          <w:p>
            <w:pPr>
              <w:pStyle w:val="StandardWW"/>
              <w:snapToGrid w:val="false"/>
              <w:spacing w:lineRule="auto" w:line="240"/>
              <w:jc w:val="left"/>
              <w:rPr/>
            </w:pPr>
            <w:r>
              <w:rPr>
                <w:b/>
                <w:sz w:val="18"/>
                <w:szCs w:val="18"/>
              </w:rPr>
              <w:t>Tipologia di servizio/infrastruttura</w:t>
            </w:r>
          </w:p>
        </w:tc>
        <w:tc>
          <w:tcPr>
            <w:tcW w:w="1724" w:type="dxa"/>
            <w:tcBorders>
              <w:top w:val="single" w:sz="4" w:space="0" w:color="000000"/>
              <w:left w:val="single" w:sz="4" w:space="0" w:color="000000"/>
              <w:bottom w:val="single" w:sz="4" w:space="0" w:color="000000"/>
            </w:tcBorders>
            <w:shd w:color="auto" w:fill="BFBFBF" w:val="clear"/>
            <w:vAlign w:val="center"/>
          </w:tcPr>
          <w:p>
            <w:pPr>
              <w:pStyle w:val="StandardWW"/>
              <w:snapToGrid w:val="false"/>
              <w:spacing w:lineRule="auto" w:line="240"/>
              <w:jc w:val="left"/>
              <w:rPr/>
            </w:pPr>
            <w:r>
              <w:rPr>
                <w:b/>
                <w:sz w:val="18"/>
                <w:szCs w:val="18"/>
              </w:rPr>
              <w:t>Estensione</w:t>
            </w:r>
          </w:p>
        </w:tc>
        <w:tc>
          <w:tcPr>
            <w:tcW w:w="3042" w:type="dxa"/>
            <w:tcBorders>
              <w:top w:val="single" w:sz="4" w:space="0" w:color="000000"/>
              <w:left w:val="single" w:sz="4" w:space="0" w:color="000000"/>
              <w:bottom w:val="single" w:sz="4" w:space="0" w:color="000000"/>
              <w:right w:val="single" w:sz="4" w:space="0" w:color="000000"/>
            </w:tcBorders>
            <w:shd w:color="auto" w:fill="BFBFBF" w:val="clear"/>
            <w:vAlign w:val="center"/>
          </w:tcPr>
          <w:p>
            <w:pPr>
              <w:pStyle w:val="StandardWW"/>
              <w:snapToGrid w:val="false"/>
              <w:spacing w:lineRule="auto" w:line="240"/>
              <w:jc w:val="left"/>
              <w:rPr/>
            </w:pPr>
            <w:r>
              <w:rPr>
                <w:b/>
                <w:sz w:val="18"/>
                <w:szCs w:val="18"/>
              </w:rPr>
              <w:t>Attività</w:t>
            </w:r>
          </w:p>
        </w:tc>
      </w:tr>
      <w:tr>
        <w:trPr>
          <w:trHeight w:val="766" w:hRule="atLeast"/>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Comune di Cagliari</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Strade comunali ricadenti nel Comune di Cagliari</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 360 km</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delle strade locali di tipo E ed F ai sensi del D.P.R. n.142/2004, nonché delle strade di diretta competenza comunale anche quando non di tipo E, F. Nel caso specifico l’asse mediano di scorrimento è classificato come D ai sensi del D.P.R. 142/2004 e il Comune di Cagliari ne ha</w:t>
            </w:r>
          </w:p>
          <w:p>
            <w:pPr>
              <w:pStyle w:val="StandardWW"/>
              <w:snapToGrid w:val="false"/>
              <w:spacing w:lineRule="auto" w:line="240"/>
              <w:jc w:val="left"/>
              <w:rPr/>
            </w:pPr>
            <w:r>
              <w:rPr>
                <w:color w:val="000000"/>
                <w:sz w:val="18"/>
                <w:szCs w:val="18"/>
              </w:rPr>
              <w:t>competenza</w:t>
            </w:r>
          </w:p>
        </w:tc>
      </w:tr>
      <w:tr>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Comune di</w:t>
            </w:r>
          </w:p>
          <w:p>
            <w:pPr>
              <w:pStyle w:val="StandardWW"/>
              <w:snapToGrid w:val="false"/>
              <w:spacing w:lineRule="auto" w:line="240"/>
              <w:jc w:val="left"/>
              <w:rPr/>
            </w:pPr>
            <w:r>
              <w:rPr>
                <w:sz w:val="18"/>
                <w:szCs w:val="18"/>
              </w:rPr>
              <w:t>Quartu S.Elena</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Strade comunali ricadenti nel Comune di Quartu S.Elena</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 390 km</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delle strade locali di tipo E ed F ai sensi del D.P.R. 142/2004, nonché delle strade di diretta competenza comunale anche quando non di tipo E, F</w:t>
            </w:r>
          </w:p>
        </w:tc>
      </w:tr>
      <w:tr>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Comuni di Assemini, Elmas, Maracalagonis, Monserrato, Quartucciu, Selargius, Sestu e Settimo S.Pietro</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Strade comunali ricadenti nei rispettivi comuni</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 600 km</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delle strade locali di tipo E ed F ai sensi del D.P.R. 142/2004, nonché delle strade di diretta competenza comunale anche quando non di tipo E, F</w:t>
            </w:r>
          </w:p>
        </w:tc>
      </w:tr>
      <w:tr>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Città Metropolitana di Cagliari</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Strade provinciali ricadenti nell’Agglomerato di Cagliari</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 100 km</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delle strade di tipo B, C ai sensi del D.P.R. 142/2004, nonché delle strade di diretta competenza provinciale anche quando non di tipo B, C</w:t>
            </w:r>
          </w:p>
        </w:tc>
      </w:tr>
      <w:tr>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ANAS</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Strade statali ricadenti nell’Agglomerato di Cagliari</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 160 km</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delle strade di tipo B, C ai sensi del D.P.R. n.142/2004, nonché delle strade di diretta competenza statale anche quando non di tipo B, C</w:t>
            </w:r>
          </w:p>
        </w:tc>
      </w:tr>
      <w:tr>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CTM</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Servizio di trasporto pubblico offerto a 7 Comuni nell’ambito dell’Agglomerato di Cagliari</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n. 32 linee,</w:t>
            </w:r>
          </w:p>
          <w:p>
            <w:pPr>
              <w:pStyle w:val="StandardWW"/>
              <w:snapToGrid w:val="false"/>
              <w:spacing w:lineRule="auto" w:line="240"/>
              <w:jc w:val="left"/>
              <w:rPr/>
            </w:pPr>
            <w:r>
              <w:rPr>
                <w:sz w:val="18"/>
                <w:szCs w:val="18"/>
              </w:rPr>
              <w:t>di cui 3 filotranviarie</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causato dal servizio delle proprie linee di trasporto pubblico</w:t>
            </w:r>
          </w:p>
        </w:tc>
      </w:tr>
      <w:tr>
        <w:trPr/>
        <w:tc>
          <w:tcPr>
            <w:tcW w:w="2272"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ARST</w:t>
            </w:r>
          </w:p>
        </w:tc>
        <w:tc>
          <w:tcPr>
            <w:tcW w:w="2316"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Servizio di trasporto pubblico di tipo extraurbano e nell'hinterland cagliaritano</w:t>
            </w:r>
          </w:p>
        </w:tc>
        <w:tc>
          <w:tcPr>
            <w:tcW w:w="1724" w:type="dxa"/>
            <w:tcBorders>
              <w:left w:val="single" w:sz="4" w:space="0" w:color="000000"/>
              <w:bottom w:val="single" w:sz="4" w:space="0" w:color="000000"/>
            </w:tcBorders>
            <w:vAlign w:val="center"/>
          </w:tcPr>
          <w:p>
            <w:pPr>
              <w:pStyle w:val="StandardWW"/>
              <w:snapToGrid w:val="false"/>
              <w:spacing w:lineRule="auto" w:line="240"/>
              <w:jc w:val="left"/>
              <w:rPr/>
            </w:pPr>
            <w:r>
              <w:rPr>
                <w:sz w:val="18"/>
                <w:szCs w:val="18"/>
              </w:rPr>
              <w:t>n. 300 autolinee regionali,</w:t>
            </w:r>
          </w:p>
          <w:p>
            <w:pPr>
              <w:pStyle w:val="StandardWW"/>
              <w:snapToGrid w:val="false"/>
              <w:spacing w:lineRule="auto" w:line="240"/>
              <w:jc w:val="left"/>
              <w:rPr/>
            </w:pPr>
            <w:r>
              <w:rPr>
                <w:sz w:val="18"/>
                <w:szCs w:val="18"/>
              </w:rPr>
              <w:t>n.2 linee metrotranviarie</w:t>
            </w:r>
          </w:p>
        </w:tc>
        <w:tc>
          <w:tcPr>
            <w:tcW w:w="3042" w:type="dxa"/>
            <w:tcBorders>
              <w:left w:val="single" w:sz="4" w:space="0" w:color="000000"/>
              <w:bottom w:val="single" w:sz="4" w:space="0" w:color="000000"/>
              <w:right w:val="single" w:sz="4" w:space="0" w:color="000000"/>
            </w:tcBorders>
            <w:vAlign w:val="center"/>
          </w:tcPr>
          <w:p>
            <w:pPr>
              <w:pStyle w:val="StandardWW"/>
              <w:snapToGrid w:val="false"/>
              <w:spacing w:lineRule="auto" w:line="240"/>
              <w:jc w:val="left"/>
              <w:rPr/>
            </w:pPr>
            <w:r>
              <w:rPr>
                <w:sz w:val="18"/>
                <w:szCs w:val="18"/>
              </w:rPr>
              <w:t>Gestione dell’inquinamento acustico causato dal servizio delle proprie linee di trasporto pubblico</w:t>
            </w:r>
          </w:p>
        </w:tc>
      </w:tr>
    </w:tbl>
    <w:p>
      <w:pPr>
        <w:pStyle w:val="StandardWW"/>
        <w:spacing w:lineRule="auto" w:line="240"/>
        <w:rPr>
          <w:rFonts w:cs="AAKCHJ+Arial,Bold"/>
        </w:rPr>
      </w:pPr>
      <w:r>
        <w:rPr>
          <w:rFonts w:cs="AAKCHJ+Arial,Bold"/>
        </w:rPr>
      </w:r>
    </w:p>
    <w:p>
      <w:pPr>
        <w:pStyle w:val="NormaleCorpo"/>
        <w:spacing w:lineRule="auto" w:line="360" w:before="280" w:after="120"/>
        <w:rPr/>
      </w:pPr>
      <w:r>
        <w:rPr>
          <w:rFonts w:cs="Arial" w:ascii="Arial" w:hAnsi="Arial"/>
          <w:sz w:val="20"/>
          <w:szCs w:val="22"/>
        </w:rPr>
        <w:t>Al momento della stesura del presente documento nessun'ente gestore delle strade e dei servizi di trasporto pubblico hanno presentato piani di contenimento del rumore prodotto. In riferimento ai dettami del D.Lgs. 194/2005, in merito alle strade con traffico annuo superiore ai 3 milioni di veicoli, nessun gestore delle infrastrutture ha presentato i piani di azione previsti dalla Direttiva 2002/49/CE. L’ente gestore delle strade statali ANAS, che nelle precedenti fasi applicative della Direttiva 2002/49/CE aveva elaborato la mappa acustica strategica, ha comunicato che attualmente l’unico strumento predisposto, relativo all’inquinamento acustico prodotto, è costituito dal piano di risanamento ai sensi del D.M. 29/11/2000, presentato ed esaminato anche nella precedente fase applicativa del piano di azione e che è tuttora in attesa di poter avviare gli interventi di risanamento non essendo stato approvato il Piano nazionale di Contenimento e Abbattimento del Rumore (PCAR). I contenuti, limitatamente ai tracciati ricadenti nell’Agglomerato di Cagliari, verranno esposti di seguito valutando anche l’evoluzione dello stesso.</w:t>
      </w:r>
    </w:p>
    <w:p>
      <w:pPr>
        <w:pStyle w:val="NormaleCorpo"/>
        <w:spacing w:lineRule="auto" w:line="360" w:before="280" w:after="120"/>
        <w:rPr/>
      </w:pPr>
      <w:r>
        <w:rPr>
          <w:rFonts w:cs="Arial" w:ascii="Arial" w:hAnsi="Arial"/>
          <w:sz w:val="20"/>
          <w:szCs w:val="22"/>
        </w:rPr>
        <w:t>Gli altri enti non hanno mai formalizzato alcun piano/programma, se non interventi puntuali non pianificati, di mitigazione acustica.</w:t>
      </w:r>
    </w:p>
    <w:p>
      <w:pPr>
        <w:pStyle w:val="StandardWW"/>
        <w:spacing w:lineRule="auto" w:line="240"/>
        <w:rPr>
          <w:rFonts w:cs="AAKCKK+Arial, Arial"/>
          <w:color w:val="000000"/>
          <w:sz w:val="18"/>
        </w:rPr>
      </w:pPr>
      <w:r>
        <w:rPr>
          <w:rFonts w:cs="AAKCKK+Arial, Arial"/>
          <w:color w:val="000000"/>
          <w:sz w:val="18"/>
        </w:rPr>
      </w:r>
    </w:p>
    <w:p>
      <w:pPr>
        <w:pStyle w:val="Heading3"/>
        <w:numPr>
          <w:ilvl w:val="2"/>
          <w:numId w:val="216"/>
        </w:numPr>
        <w:rPr/>
      </w:pPr>
      <w:bookmarkStart w:id="30" w:name="__RefHeading__9_468148522"/>
      <w:bookmarkStart w:id="31" w:name="_Toc178778183"/>
      <w:bookmarkEnd w:id="30"/>
      <w:r>
        <w:rPr>
          <w:rFonts w:cs="Arial" w:ascii="Arial" w:hAnsi="Arial"/>
          <w:b/>
          <w:sz w:val="22"/>
          <w:szCs w:val="22"/>
        </w:rPr>
        <w:t>Strade comunali</w:t>
      </w:r>
      <w:bookmarkEnd w:id="31"/>
    </w:p>
    <w:p>
      <w:pPr>
        <w:pStyle w:val="NormaleCorpo"/>
        <w:spacing w:lineRule="auto" w:line="360" w:before="280" w:after="120"/>
        <w:rPr/>
      </w:pPr>
      <w:r>
        <w:rPr>
          <w:rFonts w:cs="Arial" w:ascii="Arial" w:hAnsi="Arial"/>
          <w:sz w:val="20"/>
          <w:szCs w:val="20"/>
        </w:rPr>
        <w:t>Le strade comunali ricadenti nell'Agglomerato di Cagliari ammontano a circa 1300 km lineari, ossia l'80% delle strade totali presenti nell'Agglomerato.</w:t>
      </w:r>
    </w:p>
    <w:p>
      <w:pPr>
        <w:pStyle w:val="NormaleCorpo"/>
        <w:spacing w:lineRule="auto" w:line="360" w:before="280" w:after="120"/>
        <w:rPr/>
      </w:pPr>
      <w:r>
        <w:rPr>
          <w:rFonts w:cs="Arial" w:ascii="Arial" w:hAnsi="Arial"/>
          <w:sz w:val="20"/>
          <w:szCs w:val="20"/>
        </w:rPr>
        <w:t>Secondo quanto stabilito dal D.P.R. 142/2004 i limiti per il rumore stradale sono definiti in funzione delle caratteristiche delle strade. Per le strade di tipo E (strade urbane di quartiere) ed F (strade locali) i limiti devono essere invece definiti dai Comuni nell'ambito dei piani classificazione acustica (PCA).</w:t>
      </w:r>
    </w:p>
    <w:p>
      <w:pPr>
        <w:pStyle w:val="NormaleCorpo"/>
        <w:spacing w:lineRule="auto" w:line="360" w:before="280" w:after="120"/>
        <w:rPr/>
      </w:pPr>
      <w:r>
        <w:rPr>
          <w:rFonts w:cs="Arial" w:ascii="Arial" w:hAnsi="Arial"/>
          <w:sz w:val="20"/>
          <w:szCs w:val="20"/>
        </w:rPr>
        <w:t xml:space="preserve">Si riporta in </w:t>
      </w:r>
      <w:r>
        <w:rPr>
          <w:rFonts w:cs="Arial" w:ascii="Arial" w:hAnsi="Arial"/>
          <w:sz w:val="20"/>
          <w:szCs w:val="20"/>
        </w:rPr>
        <w:fldChar w:fldCharType="begin"/>
      </w:r>
      <w:r>
        <w:rPr>
          <w:sz w:val="20"/>
          <w:szCs w:val="20"/>
          <w:rFonts w:cs="Arial" w:ascii="Arial" w:hAnsi="Arial"/>
        </w:rPr>
        <w:instrText xml:space="preserve"> REF _Ref171956901 \h </w:instrText>
      </w:r>
      <w:r>
        <w:rPr>
          <w:sz w:val="20"/>
          <w:szCs w:val="20"/>
          <w:rFonts w:cs="Arial" w:ascii="Arial" w:hAnsi="Arial"/>
        </w:rPr>
        <w:fldChar w:fldCharType="separate"/>
      </w:r>
      <w:r>
        <w:rPr>
          <w:sz w:val="20"/>
          <w:szCs w:val="20"/>
          <w:rFonts w:cs="Arial" w:ascii="Arial" w:hAnsi="Arial"/>
        </w:rPr>
        <w:t>Tabella 9.7</w:t>
      </w:r>
      <w:r>
        <w:rPr>
          <w:sz w:val="20"/>
          <w:szCs w:val="20"/>
          <w:rFonts w:cs="Arial" w:ascii="Arial" w:hAnsi="Arial"/>
        </w:rPr>
        <w:fldChar w:fldCharType="end"/>
      </w:r>
      <w:r>
        <w:rPr>
          <w:rFonts w:cs="Arial" w:ascii="Arial" w:hAnsi="Arial"/>
          <w:sz w:val="20"/>
          <w:szCs w:val="20"/>
        </w:rPr>
        <w:t xml:space="preserve"> la situazione sullo stato di attuazione dell'iter di adozione/approvazione dei PCA relativi ai dieci Comuni dell'Agglomerato.</w:t>
      </w:r>
    </w:p>
    <w:p>
      <w:pPr>
        <w:pStyle w:val="Caption11"/>
        <w:rPr/>
      </w:pPr>
      <w:bookmarkStart w:id="32" w:name="_Toc171964387"/>
      <w:bookmarkStart w:id="33" w:name="_Ref171956901"/>
      <w:r>
        <w:rPr/>
        <w:t>Tabella 9.7</w:t>
      </w:r>
      <w:bookmarkEnd w:id="33"/>
      <w:r>
        <w:rPr/>
        <w:t xml:space="preserve"> - stato di attuazione dell'iter di adozione/approvazione dei PCA</w:t>
      </w:r>
      <w:bookmarkEnd w:id="32"/>
    </w:p>
    <w:tbl>
      <w:tblPr>
        <w:tblW w:w="9360" w:type="dxa"/>
        <w:jc w:val="left"/>
        <w:tblInd w:w="-58" w:type="dxa"/>
        <w:tblLayout w:type="fixed"/>
        <w:tblCellMar>
          <w:top w:w="57" w:type="dxa"/>
          <w:left w:w="57" w:type="dxa"/>
          <w:bottom w:w="57" w:type="dxa"/>
          <w:right w:w="57" w:type="dxa"/>
        </w:tblCellMar>
        <w:tblLook w:firstRow="0" w:noVBand="0" w:lastRow="0" w:firstColumn="0" w:lastColumn="0" w:noHBand="0" w:val="0000"/>
      </w:tblPr>
      <w:tblGrid>
        <w:gridCol w:w="1638"/>
        <w:gridCol w:w="3040"/>
        <w:gridCol w:w="4682"/>
      </w:tblGrid>
      <w:tr>
        <w:trPr>
          <w:tblHeader w:val="true"/>
        </w:trPr>
        <w:tc>
          <w:tcPr>
            <w:tcW w:w="1638" w:type="dxa"/>
            <w:tcBorders>
              <w:top w:val="single" w:sz="4" w:space="0" w:color="000000"/>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b/>
                <w:bCs/>
                <w:color w:val="000000"/>
                <w:sz w:val="18"/>
                <w:szCs w:val="18"/>
              </w:rPr>
              <w:t>Ente competente</w:t>
            </w:r>
          </w:p>
        </w:tc>
        <w:tc>
          <w:tcPr>
            <w:tcW w:w="3040" w:type="dxa"/>
            <w:tcBorders>
              <w:top w:val="single" w:sz="4" w:space="0" w:color="000000"/>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b/>
                <w:bCs/>
                <w:color w:val="000000"/>
                <w:sz w:val="18"/>
                <w:szCs w:val="18"/>
              </w:rPr>
              <w:t>Normativa di riferimento</w:t>
            </w:r>
          </w:p>
        </w:tc>
        <w:tc>
          <w:tcPr>
            <w:tcW w:w="468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b/>
                <w:bCs/>
                <w:color w:val="000000"/>
                <w:sz w:val="18"/>
                <w:szCs w:val="18"/>
              </w:rPr>
              <w:t>Stato di avanzamento</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Cagliari</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8"/>
                <w:szCs w:val="18"/>
              </w:rPr>
              <w:t>L.q. 447/1995</w:t>
            </w:r>
          </w:p>
          <w:p>
            <w:pPr>
              <w:pStyle w:val="StandardWW"/>
              <w:spacing w:lineRule="auto" w:line="240"/>
              <w:jc w:val="left"/>
              <w:rPr/>
            </w:pPr>
            <w:r>
              <w:rPr>
                <w:sz w:val="18"/>
                <w:szCs w:val="18"/>
              </w:rPr>
              <w:t>DPCM 14/11/1997</w:t>
            </w:r>
          </w:p>
          <w:p>
            <w:pPr>
              <w:pStyle w:val="StandardWW"/>
              <w:spacing w:lineRule="auto" w:line="240"/>
              <w:jc w:val="left"/>
              <w:rPr/>
            </w:pPr>
            <w:r>
              <w:rPr>
                <w:sz w:val="18"/>
                <w:szCs w:val="18"/>
              </w:rPr>
              <w:t>D.M. 29/11/2000</w:t>
            </w:r>
          </w:p>
          <w:p>
            <w:pPr>
              <w:pStyle w:val="StandardWW"/>
              <w:spacing w:lineRule="auto" w:line="240"/>
              <w:jc w:val="left"/>
              <w:rPr/>
            </w:pPr>
            <w:r>
              <w:rPr>
                <w:sz w:val="18"/>
                <w:szCs w:val="18"/>
              </w:rPr>
              <w:t>D.M. 23/11/2001</w:t>
            </w:r>
          </w:p>
          <w:p>
            <w:pPr>
              <w:pStyle w:val="StandardWW"/>
              <w:spacing w:lineRule="auto" w:line="240"/>
              <w:jc w:val="left"/>
              <w:rPr/>
            </w:pPr>
            <w:r>
              <w:rPr>
                <w:sz w:val="18"/>
                <w:szCs w:val="18"/>
              </w:rPr>
              <w:t>D.P.R. 142/2004</w:t>
            </w:r>
          </w:p>
          <w:p>
            <w:pPr>
              <w:pStyle w:val="StandardWW"/>
              <w:spacing w:lineRule="auto" w:line="240"/>
              <w:jc w:val="left"/>
              <w:rPr/>
            </w:pPr>
            <w:r>
              <w:rPr>
                <w:sz w:val="18"/>
                <w:szCs w:val="18"/>
              </w:rPr>
              <w:t>D.G.R. 62/9 del 14/11/2008 (RAS)</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sz w:val="18"/>
                <w:szCs w:val="18"/>
              </w:rPr>
              <w:t>PCA Approvato con D.C.C. n.37 del 13/4/2016</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Assemini</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D.C.C. n.19 del 20/7/2015</w:t>
            </w:r>
          </w:p>
          <w:p>
            <w:pPr>
              <w:pStyle w:val="StandardWW"/>
              <w:snapToGrid w:val="false"/>
              <w:spacing w:lineRule="auto" w:line="240"/>
              <w:jc w:val="left"/>
              <w:rPr>
                <w:rFonts w:cs="AAKCKK+Arial, Arial"/>
                <w:color w:val="000000"/>
                <w:sz w:val="18"/>
                <w:szCs w:val="18"/>
                <w:shd w:fill="FFF200" w:val="clear"/>
              </w:rPr>
            </w:pPr>
            <w:r>
              <w:rPr>
                <w:rFonts w:cs="AAKCKK+Arial, Arial"/>
                <w:color w:val="000000"/>
                <w:sz w:val="18"/>
                <w:szCs w:val="18"/>
                <w:shd w:fill="FFF200" w:val="clear"/>
              </w:rPr>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Elmas</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D.C.C. n.10 del 10/2/2010</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Quartu S.Elena</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D.C.C. n.44 del 3/5/2011</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Monserrato</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D.C.C. n.49 del 4/12/2009</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Maracalagonis</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adottato con D.G.C. n.11 del 25/7/2008;</w:t>
            </w:r>
          </w:p>
          <w:p>
            <w:pPr>
              <w:pStyle w:val="StandardWW"/>
              <w:snapToGrid w:val="false"/>
              <w:spacing w:lineRule="auto" w:line="240"/>
              <w:jc w:val="left"/>
              <w:rPr/>
            </w:pPr>
            <w:r>
              <w:rPr>
                <w:rFonts w:cs="AAKCKK+Arial, Arial"/>
                <w:color w:val="000000"/>
                <w:sz w:val="18"/>
                <w:szCs w:val="18"/>
              </w:rPr>
              <w:t>in attesa di approvazione definitiva</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Quartucciu</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D.C.S. n.7 del 03/04/2012</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Selargius</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D.C.C. n.45 del 23/6/2009</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Settimo S.Pietro</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approvato con D.C.C. n.4 del 9/2/2011</w:t>
            </w:r>
          </w:p>
        </w:tc>
      </w:tr>
      <w:tr>
        <w:trPr/>
        <w:tc>
          <w:tcPr>
            <w:tcW w:w="163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Comune di Sestu</w:t>
            </w:r>
          </w:p>
        </w:tc>
        <w:tc>
          <w:tcPr>
            <w:tcW w:w="3040"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color w:val="000000"/>
                <w:sz w:val="18"/>
                <w:szCs w:val="18"/>
              </w:rPr>
              <w:t>“</w:t>
            </w:r>
          </w:p>
        </w:tc>
        <w:tc>
          <w:tcPr>
            <w:tcW w:w="4682"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cs="AAKCKK+Arial, Arial"/>
                <w:color w:val="000000"/>
                <w:sz w:val="18"/>
                <w:szCs w:val="18"/>
              </w:rPr>
              <w:t>PCA adottato con D.C.C. n.57 del 27/10/2008;</w:t>
            </w:r>
          </w:p>
          <w:p>
            <w:pPr>
              <w:pStyle w:val="StandardWW"/>
              <w:snapToGrid w:val="false"/>
              <w:spacing w:lineRule="auto" w:line="240"/>
              <w:jc w:val="left"/>
              <w:rPr/>
            </w:pPr>
            <w:r>
              <w:rPr>
                <w:rFonts w:cs="AAKCKK+Arial, Arial"/>
                <w:color w:val="000000"/>
                <w:sz w:val="18"/>
                <w:szCs w:val="18"/>
              </w:rPr>
              <w:t>in attesa di approvazione definitiva</w:t>
            </w:r>
          </w:p>
        </w:tc>
      </w:tr>
    </w:tbl>
    <w:p>
      <w:pPr>
        <w:pStyle w:val="StandardWW"/>
        <w:spacing w:lineRule="auto" w:line="240"/>
        <w:rPr>
          <w:rFonts w:cs="AAKCKK+Arial, Arial"/>
          <w:color w:val="000000"/>
        </w:rPr>
      </w:pPr>
      <w:r>
        <w:rPr>
          <w:rFonts w:cs="AAKCKK+Arial, Arial"/>
          <w:color w:val="000000"/>
        </w:rPr>
      </w:r>
    </w:p>
    <w:p>
      <w:pPr>
        <w:pStyle w:val="NormaleCorpo"/>
        <w:spacing w:lineRule="auto" w:line="360" w:before="280" w:after="120"/>
        <w:rPr/>
      </w:pPr>
      <w:r>
        <w:rPr>
          <w:rFonts w:cs="Arial" w:ascii="Arial" w:hAnsi="Arial"/>
          <w:sz w:val="20"/>
          <w:szCs w:val="20"/>
        </w:rPr>
        <w:t>Ai fini dell'individuazione della competenza per quanto riguarda la gestione dell’inquinamento acustico, si evidenzia che il Nuovo Codice della strada (D.Lgs. 285/1992, art.2 comma 7) recita:</w:t>
      </w:r>
    </w:p>
    <w:p>
      <w:pPr>
        <w:pStyle w:val="NormaleCorpo"/>
        <w:spacing w:lineRule="auto" w:line="360" w:before="280" w:after="120"/>
        <w:rPr/>
      </w:pPr>
      <w:r>
        <w:rPr>
          <w:rStyle w:val="StrongEmphasisWW"/>
          <w:rFonts w:eastAsia="Arial" w:cs="Arial" w:ascii="Arial" w:hAnsi="Arial"/>
          <w:i/>
          <w:iCs/>
          <w:sz w:val="20"/>
          <w:szCs w:val="20"/>
        </w:rPr>
        <w:t>“</w:t>
      </w:r>
      <w:r>
        <w:rPr>
          <w:rFonts w:cs="Arial" w:ascii="Arial" w:hAnsi="Arial"/>
          <w:i/>
          <w:iCs/>
          <w:sz w:val="20"/>
          <w:szCs w:val="20"/>
        </w:rPr>
        <w:t xml:space="preserve">Le strade urbane di cui al comma 2, lettere </w:t>
      </w:r>
      <w:r>
        <w:rPr>
          <w:rFonts w:cs="Arial" w:ascii="Arial" w:hAnsi="Arial"/>
          <w:b/>
          <w:i/>
          <w:iCs/>
          <w:sz w:val="20"/>
          <w:szCs w:val="20"/>
          <w:u w:val="single"/>
        </w:rPr>
        <w:t>D, E e F sono sempre comunali</w:t>
      </w:r>
      <w:r>
        <w:rPr>
          <w:rFonts w:cs="Arial" w:ascii="Arial" w:hAnsi="Arial"/>
          <w:i/>
          <w:iCs/>
          <w:sz w:val="20"/>
          <w:szCs w:val="20"/>
        </w:rPr>
        <w:t xml:space="preserve">, quando siano situate nell'interno dei centri abitati, eccettuati i tratti interni di strade statali, regionali o provinciali che attraversano centri abitati con popolazione non superiore a </w:t>
      </w:r>
      <w:r>
        <w:rPr>
          <w:rFonts w:cs="Arial" w:ascii="Arial" w:hAnsi="Arial"/>
          <w:b/>
          <w:i/>
          <w:iCs/>
          <w:sz w:val="20"/>
          <w:szCs w:val="20"/>
          <w:u w:val="single"/>
        </w:rPr>
        <w:t>diecimila abitanti</w:t>
      </w:r>
      <w:r>
        <w:rPr>
          <w:rFonts w:cs="Arial" w:ascii="Arial" w:hAnsi="Arial"/>
          <w:i/>
          <w:iCs/>
          <w:sz w:val="20"/>
          <w:szCs w:val="20"/>
        </w:rPr>
        <w:t>.”</w:t>
      </w:r>
    </w:p>
    <w:p>
      <w:pPr>
        <w:pStyle w:val="StandardWW"/>
        <w:spacing w:lineRule="auto" w:line="360" w:before="280" w:after="120"/>
        <w:rPr/>
      </w:pPr>
      <w:r>
        <w:rPr>
          <w:rStyle w:val="NormaleCorpoCarattere"/>
        </w:rPr>
        <w:t xml:space="preserve">Per quanto sopra esposto, in riferimento alle strade provinciali e statali che attraversano i centri urbani dei Comuni dell’Agglomerato, la competenza relativa al risanamento acustico può essere indicata secondo quanto riportato in </w:t>
      </w:r>
      <w:r>
        <w:rPr>
          <w:rStyle w:val="NormaleCorpoCarattere"/>
        </w:rPr>
        <w:fldChar w:fldCharType="begin"/>
      </w:r>
      <w:r>
        <w:rPr>
          <w:rStyle w:val="NormaleCorpoCarattere"/>
        </w:rPr>
        <w:instrText xml:space="preserve"> REF _Ref171957678 \h </w:instrText>
      </w:r>
      <w:r>
        <w:rPr>
          <w:rStyle w:val="NormaleCorpoCarattere"/>
        </w:rPr>
        <w:fldChar w:fldCharType="separate"/>
      </w:r>
      <w:r>
        <w:rPr>
          <w:rStyle w:val="NormaleCorpoCarattere"/>
        </w:rPr>
        <w:t>Tabella 9.8</w:t>
      </w:r>
      <w:r>
        <w:rPr>
          <w:rStyle w:val="NormaleCorpoCarattere"/>
        </w:rPr>
        <w:fldChar w:fldCharType="end"/>
      </w:r>
      <w:r>
        <w:rPr/>
        <w:t>.</w:t>
      </w:r>
    </w:p>
    <w:p>
      <w:pPr>
        <w:pStyle w:val="FigureTabelle"/>
        <w:rPr/>
      </w:pPr>
      <w:r>
        <w:rPr/>
      </w:r>
    </w:p>
    <w:p>
      <w:pPr>
        <w:pStyle w:val="FigureTabelle"/>
        <w:rPr/>
      </w:pPr>
      <w:bookmarkStart w:id="34" w:name="_Toc171964388"/>
      <w:bookmarkStart w:id="35" w:name="_Ref171957678"/>
      <w:r>
        <w:rPr/>
        <w:t>Tabella 9.8</w:t>
      </w:r>
      <w:bookmarkEnd w:id="35"/>
      <w:r>
        <w:rPr/>
        <w:t xml:space="preserve"> - competenza relativa al risanamento acustico delle strade provinciali e statali che attraversano i centri urbani</w:t>
      </w:r>
      <w:bookmarkEnd w:id="34"/>
    </w:p>
    <w:tbl>
      <w:tblPr>
        <w:tblW w:w="9354" w:type="dxa"/>
        <w:jc w:val="left"/>
        <w:tblInd w:w="-58" w:type="dxa"/>
        <w:tblLayout w:type="fixed"/>
        <w:tblCellMar>
          <w:top w:w="57" w:type="dxa"/>
          <w:left w:w="57" w:type="dxa"/>
          <w:bottom w:w="57" w:type="dxa"/>
          <w:right w:w="57" w:type="dxa"/>
        </w:tblCellMar>
        <w:tblLook w:firstRow="0" w:noVBand="0" w:lastRow="0" w:firstColumn="0" w:lastColumn="0" w:noHBand="0" w:val="0000"/>
      </w:tblPr>
      <w:tblGrid>
        <w:gridCol w:w="2458"/>
        <w:gridCol w:w="2656"/>
        <w:gridCol w:w="1492"/>
        <w:gridCol w:w="2747"/>
      </w:tblGrid>
      <w:tr>
        <w:trPr>
          <w:tblHeader w:val="true"/>
        </w:trPr>
        <w:tc>
          <w:tcPr>
            <w:tcW w:w="2458" w:type="dxa"/>
            <w:tcBorders>
              <w:top w:val="single" w:sz="4" w:space="0" w:color="000000"/>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Ente gestore</w:t>
            </w:r>
          </w:p>
        </w:tc>
        <w:tc>
          <w:tcPr>
            <w:tcW w:w="2656" w:type="dxa"/>
            <w:tcBorders>
              <w:top w:val="single" w:sz="4" w:space="0" w:color="000000"/>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Tipologia di infrastruttura</w:t>
            </w:r>
          </w:p>
        </w:tc>
        <w:tc>
          <w:tcPr>
            <w:tcW w:w="1492" w:type="dxa"/>
            <w:tcBorders>
              <w:top w:val="single" w:sz="4" w:space="0" w:color="000000"/>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Popolazione</w:t>
            </w:r>
            <w:r>
              <w:rPr>
                <w:b/>
                <w:sz w:val="16"/>
                <w:szCs w:val="16"/>
                <w:vertAlign w:val="superscript"/>
              </w:rPr>
              <w:t>(</w:t>
            </w:r>
            <w:r>
              <w:rPr>
                <w:b/>
                <w:sz w:val="16"/>
                <w:szCs w:val="16"/>
              </w:rPr>
              <w:t>*</w:t>
            </w:r>
            <w:r>
              <w:rPr>
                <w:b/>
                <w:sz w:val="16"/>
                <w:szCs w:val="16"/>
                <w:vertAlign w:val="superscript"/>
              </w:rPr>
              <w:t>)</w:t>
            </w:r>
          </w:p>
        </w:tc>
        <w:tc>
          <w:tcPr>
            <w:tcW w:w="27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b/>
                <w:sz w:val="16"/>
                <w:szCs w:val="16"/>
              </w:rPr>
              <w:t>Attività</w:t>
            </w:r>
          </w:p>
        </w:tc>
      </w:tr>
      <w:tr>
        <w:trPr>
          <w:trHeight w:val="766" w:hRule="atLeast"/>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Cagliari</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Infrastrutture stradali</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147.235</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sz w:val="16"/>
                <w:szCs w:val="16"/>
              </w:rPr>
              <w:t>Gestione dell’inquinamento acustico delle strade locali di tipo D, E ed F ai sensi del D.P.R. 142/2004, nonché dei tratti urbani delle strade provinciali e statali classificate di tipo B, C</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w:t>
            </w:r>
          </w:p>
          <w:p>
            <w:pPr>
              <w:pStyle w:val="StandardWW"/>
              <w:snapToGrid w:val="false"/>
              <w:spacing w:lineRule="auto" w:line="240"/>
              <w:jc w:val="left"/>
              <w:rPr/>
            </w:pPr>
            <w:r>
              <w:rPr>
                <w:sz w:val="16"/>
                <w:szCs w:val="16"/>
              </w:rPr>
              <w:t>Quartu S.Elena</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68.786</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Quartucciu</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11.200</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Monserrato</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19.710</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Assemini</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25.668</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Selargius</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29.301</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Sestu</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19.272</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w:t>
            </w:r>
          </w:p>
          <w:p>
            <w:pPr>
              <w:pStyle w:val="StandardWW"/>
              <w:snapToGrid w:val="false"/>
              <w:spacing w:lineRule="auto" w:line="240"/>
              <w:jc w:val="left"/>
              <w:rPr/>
            </w:pPr>
            <w:r>
              <w:rPr>
                <w:sz w:val="16"/>
                <w:szCs w:val="16"/>
              </w:rPr>
              <w:t>Settimo S. Pietro</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5.949</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sz w:val="16"/>
                <w:szCs w:val="16"/>
              </w:rPr>
              <w:t>Gestione dell’inquinamento acustico delle strade locali di tipo E ed F ai sensi del D.P.R. 142/2004</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Elmas</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8.298</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r>
        <w:trPr/>
        <w:tc>
          <w:tcPr>
            <w:tcW w:w="2458"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sz w:val="16"/>
                <w:szCs w:val="16"/>
              </w:rPr>
              <w:t>Comune di Maracalagonis</w:t>
            </w:r>
          </w:p>
        </w:tc>
        <w:tc>
          <w:tcPr>
            <w:tcW w:w="2656"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c>
          <w:tcPr>
            <w:tcW w:w="1492" w:type="dxa"/>
            <w:tcBorders>
              <w:left w:val="single" w:sz="4" w:space="0" w:color="000000"/>
              <w:bottom w:val="single" w:sz="4" w:space="0" w:color="000000"/>
            </w:tcBorders>
            <w:shd w:color="auto" w:fill="auto" w:val="clear"/>
            <w:vAlign w:val="center"/>
          </w:tcPr>
          <w:p>
            <w:pPr>
              <w:pStyle w:val="StandardWW"/>
              <w:snapToGrid w:val="false"/>
              <w:spacing w:lineRule="auto" w:line="240"/>
              <w:jc w:val="left"/>
              <w:rPr/>
            </w:pPr>
            <w:r>
              <w:rPr>
                <w:b/>
                <w:sz w:val="16"/>
                <w:szCs w:val="16"/>
              </w:rPr>
              <w:t>7.391</w:t>
            </w:r>
          </w:p>
        </w:tc>
        <w:tc>
          <w:tcPr>
            <w:tcW w:w="2747" w:type="dxa"/>
            <w:tcBorders>
              <w:left w:val="single" w:sz="4" w:space="0" w:color="000000"/>
              <w:bottom w:val="single" w:sz="4" w:space="0" w:color="000000"/>
              <w:right w:val="single" w:sz="4" w:space="0" w:color="000000"/>
            </w:tcBorders>
            <w:shd w:color="auto" w:fill="auto" w:val="clear"/>
            <w:vAlign w:val="center"/>
          </w:tcPr>
          <w:p>
            <w:pPr>
              <w:pStyle w:val="StandardWW"/>
              <w:snapToGrid w:val="false"/>
              <w:spacing w:lineRule="auto" w:line="240"/>
              <w:jc w:val="left"/>
              <w:rPr/>
            </w:pPr>
            <w:r>
              <w:rPr>
                <w:rFonts w:eastAsia="Arial"/>
                <w:sz w:val="16"/>
                <w:szCs w:val="16"/>
              </w:rPr>
              <w:t>“</w:t>
            </w:r>
          </w:p>
        </w:tc>
      </w:tr>
    </w:tbl>
    <w:p>
      <w:pPr>
        <w:pStyle w:val="FigureTabelle"/>
        <w:rPr/>
      </w:pPr>
      <w:r>
        <w:rPr/>
        <w:t>(*) Dati popolazione fonte ISTAT 2021 ricadenti nell’Agglomerato di Cagliari</w:t>
      </w:r>
    </w:p>
    <w:p>
      <w:pPr>
        <w:pStyle w:val="NormaleCorpo"/>
        <w:spacing w:lineRule="auto" w:line="360" w:before="280" w:after="120"/>
        <w:rPr/>
      </w:pPr>
      <w:r>
        <w:rPr>
          <w:rFonts w:cs="Arial" w:ascii="Arial" w:hAnsi="Arial"/>
          <w:sz w:val="20"/>
          <w:szCs w:val="20"/>
        </w:rPr>
        <w:t>Pertanto, per quanto riguarda i Comuni con oltre 10.000 abitanti tutte le strade sono di competenza comunale, mentre rimangono di competenza provinciale (o statale) i tratti di strade provinciali o statali al di fuori dei centri urbani.</w:t>
      </w:r>
    </w:p>
    <w:p>
      <w:pPr>
        <w:pStyle w:val="NormaleCorpo"/>
        <w:spacing w:lineRule="auto" w:line="360" w:before="280" w:after="120"/>
        <w:rPr/>
      </w:pPr>
      <w:r>
        <w:rPr>
          <w:rFonts w:cs="Arial" w:ascii="Arial" w:hAnsi="Arial"/>
          <w:sz w:val="20"/>
          <w:szCs w:val="20"/>
        </w:rPr>
        <w:t>Per quanto riguarda invece i Comuni con meno di 10.000 abitanti le strade di competenza comunale sono quelle di tipo locale (E ed F), mentre le tratte urbane ed extraurbane delle strade provinciali e statali sono di competenza provinciale o statale (in funzione dell’ente gestore a cui sono attribuite).</w:t>
      </w:r>
    </w:p>
    <w:p>
      <w:pPr>
        <w:pStyle w:val="NormaleCorpo"/>
        <w:spacing w:lineRule="auto" w:line="360" w:before="280" w:after="120"/>
        <w:rPr/>
      </w:pPr>
      <w:r>
        <w:rPr>
          <w:rFonts w:cs="Arial" w:ascii="Arial" w:hAnsi="Arial"/>
          <w:sz w:val="20"/>
          <w:szCs w:val="20"/>
        </w:rPr>
        <w:t>Possono esistere accordi speciali a livello locale che sanciscono una diversa ripartizione delle competenze.</w:t>
      </w:r>
    </w:p>
    <w:p>
      <w:pPr>
        <w:pStyle w:val="Heading3"/>
        <w:numPr>
          <w:ilvl w:val="2"/>
          <w:numId w:val="217"/>
        </w:numPr>
        <w:rPr/>
      </w:pPr>
      <w:bookmarkStart w:id="36" w:name="__RefHeading__11_468148522"/>
      <w:bookmarkStart w:id="37" w:name="_Toc178778184"/>
      <w:bookmarkEnd w:id="36"/>
      <w:r>
        <w:rPr>
          <w:rFonts w:cs="Arial" w:ascii="Arial" w:hAnsi="Arial"/>
          <w:b/>
          <w:sz w:val="22"/>
          <w:szCs w:val="22"/>
        </w:rPr>
        <w:t>Strade provinciali - Città Metropolitana di Cagliari</w:t>
      </w:r>
      <w:bookmarkEnd w:id="37"/>
    </w:p>
    <w:p>
      <w:pPr>
        <w:pStyle w:val="StandardWW"/>
        <w:spacing w:lineRule="auto" w:line="240"/>
        <w:rPr>
          <w:rFonts w:cs="AAKCKK+Arial, Arial"/>
          <w:color w:val="000000"/>
        </w:rPr>
      </w:pPr>
      <w:r>
        <w:rPr>
          <w:rFonts w:cs="AAKCKK+Arial, Arial"/>
          <w:color w:val="000000"/>
        </w:rPr>
      </w:r>
    </w:p>
    <w:p>
      <w:pPr>
        <w:pStyle w:val="StandardWW"/>
        <w:spacing w:lineRule="auto" w:line="240"/>
        <w:rPr/>
      </w:pPr>
      <w:r>
        <w:rPr/>
        <w:t>La Città Metropolitana di Cagliari – Settore Viabilità, competente per circa 100 km all’interno dell’Agglomerato, non ha al momento predisposto il piano di risanamento ai sensi dell’art.2, comma 2 del D.M. 29/11/2000.</w:t>
      </w:r>
    </w:p>
    <w:p>
      <w:pPr>
        <w:pStyle w:val="FigureTabelle"/>
        <w:rPr/>
      </w:pPr>
      <w:r>
        <w:rPr/>
      </w:r>
    </w:p>
    <w:p>
      <w:pPr>
        <w:pStyle w:val="FigureTabelle"/>
        <w:rPr/>
      </w:pPr>
      <w:r>
        <w:rPr/>
        <w:drawing>
          <wp:inline distT="0" distB="0" distL="0" distR="0">
            <wp:extent cx="6120130" cy="4294505"/>
            <wp:effectExtent l="0" t="0" r="0" b="0"/>
            <wp:docPr id="2" name="Immagine7" descr="Immagine che contiene mapp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7" descr="Immagine che contiene mappa, testo&#10;&#10;Descrizione generata automaticamente"/>
                    <pic:cNvPicPr>
                      <a:picLocks noChangeAspect="1" noChangeArrowheads="1"/>
                    </pic:cNvPicPr>
                  </pic:nvPicPr>
                  <pic:blipFill>
                    <a:blip r:embed="rId6"/>
                    <a:stretch>
                      <a:fillRect/>
                    </a:stretch>
                  </pic:blipFill>
                  <pic:spPr bwMode="auto">
                    <a:xfrm>
                      <a:off x="0" y="0"/>
                      <a:ext cx="6120130" cy="4294505"/>
                    </a:xfrm>
                    <a:prstGeom prst="rect">
                      <a:avLst/>
                    </a:prstGeom>
                  </pic:spPr>
                </pic:pic>
              </a:graphicData>
            </a:graphic>
          </wp:inline>
        </w:drawing>
      </w:r>
    </w:p>
    <w:p>
      <w:pPr>
        <w:pStyle w:val="Caption11"/>
        <w:rPr/>
      </w:pPr>
      <w:bookmarkStart w:id="38" w:name="_Toc171964351"/>
      <w:bookmarkStart w:id="39" w:name="_Toc171894430"/>
      <w:r>
        <w:rPr/>
        <w:t xml:space="preserve">Figura 9.2 - </w:t>
      </w:r>
      <w:r>
        <w:rPr>
          <w:w w:val="95"/>
          <w:sz w:val="18"/>
          <w:szCs w:val="18"/>
        </w:rPr>
        <w:t>La viabilità principale e le relative fasce di pertinenza ai sensi del D.P.R. 142/2004 dei dieci comuni dell’area cagliaritana</w:t>
      </w:r>
      <w:bookmarkEnd w:id="38"/>
      <w:bookmarkEnd w:id="39"/>
    </w:p>
    <w:p>
      <w:pPr>
        <w:pStyle w:val="StandardWW"/>
        <w:spacing w:lineRule="auto" w:line="360" w:before="280" w:after="120"/>
        <w:rPr/>
      </w:pPr>
      <w:r>
        <w:rPr/>
      </w:r>
    </w:p>
    <w:p>
      <w:pPr>
        <w:pStyle w:val="StandardWW"/>
        <w:spacing w:lineRule="auto" w:line="360" w:before="280" w:after="120"/>
        <w:rPr/>
      </w:pPr>
      <w:r>
        <w:rPr/>
        <w:t>Gli esiti della mappa acustica strategica non evidenziano particolari criticità, comprensibilmente perché si identificano con tracciati extraurbani con relativa bassa popolazione esposta. Nel corso dei cinque anni di validità del piano ci si concentrerà in una maggiore attenzione e monitoraggio per quei tracciati che presentano comunque elevati flussi di traffico quali le S.P. 8-15-17.</w:t>
      </w:r>
    </w:p>
    <w:p>
      <w:pPr>
        <w:pStyle w:val="StandardWW"/>
        <w:spacing w:lineRule="auto" w:line="360" w:before="280" w:after="120"/>
        <w:rPr/>
      </w:pPr>
      <w:r>
        <w:rPr/>
      </w:r>
    </w:p>
    <w:p>
      <w:pPr>
        <w:pStyle w:val="StandardWW"/>
        <w:spacing w:lineRule="auto" w:line="360" w:before="280" w:after="120"/>
        <w:rPr/>
      </w:pPr>
      <w:r>
        <w:rPr/>
      </w:r>
    </w:p>
    <w:p>
      <w:pPr>
        <w:pStyle w:val="StandardWW"/>
        <w:spacing w:lineRule="auto" w:line="360" w:before="280" w:after="120"/>
        <w:rPr/>
      </w:pPr>
      <w:r>
        <w:rPr/>
      </w:r>
    </w:p>
    <w:p>
      <w:pPr>
        <w:pStyle w:val="Standard"/>
        <w:tabs>
          <w:tab w:val="clear" w:pos="708"/>
          <w:tab w:val="left" w:pos="563" w:leader="none"/>
        </w:tabs>
        <w:spacing w:lineRule="exact" w:line="300"/>
        <w:ind w:firstLine="283"/>
        <w:jc w:val="center"/>
        <w:rPr/>
      </w:pPr>
      <w:r>
        <w:rPr>
          <w:rFonts w:cs="Times New Roman"/>
          <w:spacing w:val="-3"/>
          <w:sz w:val="32"/>
          <w:szCs w:val="32"/>
        </w:rPr>
        <w:tab/>
      </w:r>
      <w:r>
        <w:rPr>
          <w:rFonts w:cs="Times New Roman"/>
          <w:b/>
          <w:i/>
          <w:spacing w:val="-3"/>
          <w:sz w:val="32"/>
          <w:szCs w:val="32"/>
        </w:rPr>
        <w:t>STRADE CITTA’ METROPOLITANA</w:t>
      </w:r>
    </w:p>
    <w:p>
      <w:pPr>
        <w:pStyle w:val="Standard"/>
        <w:tabs>
          <w:tab w:val="clear" w:pos="708"/>
          <w:tab w:val="left" w:pos="563" w:leader="none"/>
        </w:tabs>
        <w:spacing w:lineRule="exact" w:line="300"/>
        <w:ind w:firstLine="283"/>
        <w:jc w:val="center"/>
        <w:rPr>
          <w:rFonts w:cs="Times New Roman"/>
          <w:spacing w:val="-3"/>
          <w:sz w:val="32"/>
          <w:szCs w:val="32"/>
        </w:rPr>
      </w:pPr>
      <w:r>
        <w:rPr>
          <w:rFonts w:cs="Times New Roman"/>
          <w:spacing w:val="-3"/>
          <w:sz w:val="32"/>
          <w:szCs w:val="32"/>
        </w:rPr>
      </w:r>
    </w:p>
    <w:tbl>
      <w:tblPr>
        <w:tblW w:w="9850" w:type="dxa"/>
        <w:jc w:val="left"/>
        <w:tblInd w:w="9" w:type="dxa"/>
        <w:tblLayout w:type="fixed"/>
        <w:tblCellMar>
          <w:top w:w="0" w:type="dxa"/>
          <w:left w:w="70" w:type="dxa"/>
          <w:bottom w:w="0" w:type="dxa"/>
          <w:right w:w="70" w:type="dxa"/>
        </w:tblCellMar>
        <w:tblLook w:firstRow="0" w:noVBand="0" w:lastRow="0" w:firstColumn="0" w:lastColumn="0" w:noHBand="0" w:val="0000"/>
      </w:tblPr>
      <w:tblGrid>
        <w:gridCol w:w="1875"/>
        <w:gridCol w:w="6401"/>
        <w:gridCol w:w="567"/>
        <w:gridCol w:w="1006"/>
      </w:tblGrid>
      <w:tr>
        <w:trPr>
          <w:tblHeader w:val="true"/>
          <w:trHeight w:val="567" w:hRule="exact"/>
        </w:trPr>
        <w:tc>
          <w:tcPr>
            <w:tcW w:w="1875" w:type="dxa"/>
            <w:tcBorders>
              <w:top w:val="single" w:sz="18" w:space="0" w:color="000000"/>
              <w:left w:val="single" w:sz="18" w:space="0" w:color="000000"/>
              <w:bottom w:val="single" w:sz="4" w:space="0" w:color="000000"/>
            </w:tcBorders>
            <w:shd w:color="auto" w:fill="F2F2F2" w:val="clear"/>
            <w:vAlign w:val="center"/>
          </w:tcPr>
          <w:p>
            <w:pPr>
              <w:pStyle w:val="Standard"/>
              <w:snapToGrid w:val="false"/>
              <w:jc w:val="center"/>
              <w:rPr/>
            </w:pPr>
            <w:r>
              <w:rPr>
                <w:rFonts w:cs="Times New Roman"/>
                <w:b/>
                <w:i/>
              </w:rPr>
              <w:t>S.P.</w:t>
            </w:r>
          </w:p>
        </w:tc>
        <w:tc>
          <w:tcPr>
            <w:tcW w:w="6401" w:type="dxa"/>
            <w:tcBorders>
              <w:top w:val="single" w:sz="18" w:space="0" w:color="000000"/>
              <w:left w:val="single" w:sz="4" w:space="0" w:color="000000"/>
              <w:bottom w:val="single" w:sz="4" w:space="0" w:color="000000"/>
            </w:tcBorders>
            <w:shd w:color="auto" w:fill="F2F2F2" w:val="clear"/>
            <w:vAlign w:val="center"/>
          </w:tcPr>
          <w:p>
            <w:pPr>
              <w:pStyle w:val="Standard"/>
              <w:snapToGrid w:val="false"/>
              <w:jc w:val="center"/>
              <w:rPr/>
            </w:pPr>
            <w:r>
              <w:rPr>
                <w:rFonts w:cs="Times New Roman"/>
                <w:b/>
                <w:i/>
              </w:rPr>
              <w:t>Denominazione tratto stradale</w:t>
            </w:r>
          </w:p>
        </w:tc>
        <w:tc>
          <w:tcPr>
            <w:tcW w:w="1573" w:type="dxa"/>
            <w:gridSpan w:val="2"/>
            <w:tcBorders>
              <w:top w:val="single" w:sz="18" w:space="0" w:color="000000"/>
              <w:left w:val="single" w:sz="4" w:space="0" w:color="000000"/>
              <w:bottom w:val="single" w:sz="4" w:space="0" w:color="000000"/>
              <w:right w:val="single" w:sz="18" w:space="0" w:color="000000"/>
            </w:tcBorders>
            <w:shd w:color="auto" w:fill="F2F2F2" w:val="clear"/>
            <w:vAlign w:val="bottom"/>
          </w:tcPr>
          <w:p>
            <w:pPr>
              <w:pStyle w:val="Standard"/>
              <w:snapToGrid w:val="false"/>
              <w:jc w:val="center"/>
              <w:rPr/>
            </w:pPr>
            <w:r>
              <w:rPr>
                <w:rFonts w:cs="Times New Roman"/>
                <w:b/>
                <w:i/>
              </w:rPr>
              <w:t>Km.</w:t>
            </w:r>
          </w:p>
          <w:p>
            <w:pPr>
              <w:pStyle w:val="Standard"/>
              <w:snapToGrid w:val="false"/>
              <w:jc w:val="center"/>
              <w:rPr/>
            </w:pPr>
            <w:r>
              <w:rPr>
                <w:rFonts w:cs="Times New Roman"/>
                <w:b/>
                <w:i/>
              </w:rPr>
              <w:t>di intervento</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C.A.S.I.C (Valriso) -S.Lucia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24+344</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n°2</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Bv. S.S. 131 - Bv. S.S. 130 - Dorsale Consortile Industriale  - Bv. S.P. 92 -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20+600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n°3</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Uta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0+260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n°4</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Sestu - S.S. 131(Rotatoria)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6+350</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n°5</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S.S. 130 (Decimomannu)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1+500</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n°8</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Bv. S.S 554 (Monserrato -Ponte Strallato) - Sestu - Bv. S.S. 131 - Bv. S.S. 130  (Elmas)</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5+194</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n°9</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Sestu ( inizio abitato)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4+855</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n°90</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Uta - Limite Provincia Sud Sardegna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0+054</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n°91</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Bv. S.S. 195 - Capoterra - Bv. S.P. 1 (Santa Lucia)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6+743</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n°91 /C</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Circonvallazione (Mc. adam)</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2+800</w:t>
            </w:r>
          </w:p>
        </w:tc>
      </w:tr>
      <w:tr>
        <w:trPr>
          <w:cantSplit w:val="true"/>
        </w:trPr>
        <w:tc>
          <w:tcPr>
            <w:tcW w:w="1875" w:type="dxa"/>
            <w:tcBorders>
              <w:left w:val="single" w:sz="18" w:space="0" w:color="000000"/>
              <w:bottom w:val="single" w:sz="4" w:space="0" w:color="000000"/>
            </w:tcBorders>
          </w:tcPr>
          <w:p>
            <w:pPr>
              <w:pStyle w:val="Contenutotabella"/>
              <w:snapToGrid w:val="false"/>
              <w:spacing w:before="120" w:after="120"/>
              <w:rPr/>
            </w:pPr>
            <w:r>
              <w:rPr>
                <w:rFonts w:cs="Times New Roman" w:ascii="Times New Roman" w:hAnsi="Times New Roman"/>
                <w:b/>
                <w:bCs/>
              </w:rPr>
              <w:t>S.P. n°92</w:t>
            </w:r>
          </w:p>
        </w:tc>
        <w:tc>
          <w:tcPr>
            <w:tcW w:w="6401" w:type="dxa"/>
            <w:tcBorders>
              <w:left w:val="single" w:sz="4" w:space="0" w:color="000000"/>
              <w:bottom w:val="single" w:sz="4" w:space="0" w:color="000000"/>
            </w:tcBorders>
          </w:tcPr>
          <w:p>
            <w:pPr>
              <w:pStyle w:val="Contenutotabella"/>
              <w:snapToGrid w:val="false"/>
              <w:spacing w:before="120" w:after="120"/>
              <w:rPr/>
            </w:pPr>
            <w:r>
              <w:rPr>
                <w:rFonts w:cs="Times New Roman" w:ascii="Times New Roman" w:hAnsi="Times New Roman"/>
                <w:smallCaps/>
              </w:rPr>
              <w:t>Macchiareddu -Bv. Pedemontana – Bv. S.P. 2</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rPr/>
            </w:pPr>
            <w:r>
              <w:rPr>
                <w:rFonts w:cs="Times New Roman" w:ascii="Times New Roman" w:hAnsi="Times New Roman"/>
                <w:b/>
                <w:bCs/>
              </w:rPr>
              <w:t>5+705</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n°12</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bv. SS.387-SETTIMO S.PIETRO (Inizio Abitato)</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5+570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n°15</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SELARGIUS – SETTIMO S.P. – SINNAI – MARACALAGONIS - Bv Sa Funtanedda</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13+800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n°15 Bis</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SELARGIUS-CIRCONVALLAZIONE SINNAI</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4+100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n°15 Ter</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ABITATO SINNAI-bv. CIRCONVALLAZIONE SP. 15</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0+800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n°16</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MARACALAGONIS (fine abitato)-bivio SS 125</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4+920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n°94</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bivio SS 554-bivio SP 15 (QUARTUCCIU-GANNI')</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3+460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n°95</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bivio Sa Funtanedda -S.ISIDORO</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4+380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n°96</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bivio SS 125-bivio SP 17 (FLUMINI DI QUARTU)</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5+213</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n°17</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bivio SP.15-TERRA MALA</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10+050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n°17</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TERRA MALA- confine VILLASIMIUS</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17+398</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n°17 Quater</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Rotatoria ippodromo Cagliari-conf. comunale Quartu sant'Elena</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1+800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n°20</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SOLANAS-SU REU</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7+100</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n°20</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SU REU- confine CASTIADAS</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3+086</w:t>
            </w:r>
          </w:p>
        </w:tc>
      </w:tr>
      <w:tr>
        <w:trPr>
          <w:cantSplit w:val="true"/>
        </w:trPr>
        <w:tc>
          <w:tcPr>
            <w:tcW w:w="1875" w:type="dxa"/>
            <w:tcBorders>
              <w:left w:val="single" w:sz="18"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b/>
                <w:bCs/>
              </w:rPr>
              <w:t>S.P. n°21</w:t>
            </w:r>
          </w:p>
        </w:tc>
        <w:tc>
          <w:tcPr>
            <w:tcW w:w="6401" w:type="dxa"/>
            <w:tcBorders>
              <w:left w:val="single" w:sz="4" w:space="0" w:color="000000"/>
              <w:bottom w:val="single" w:sz="4" w:space="0" w:color="000000"/>
            </w:tcBorders>
          </w:tcPr>
          <w:p>
            <w:pPr>
              <w:pStyle w:val="Contenutotabella"/>
              <w:widowControl/>
              <w:suppressLineNumbers/>
              <w:spacing w:lineRule="atLeast" w:line="300" w:before="120" w:after="120"/>
              <w:jc w:val="both"/>
              <w:textAlignment w:val="auto"/>
              <w:rPr/>
            </w:pPr>
            <w:r>
              <w:rPr>
                <w:rFonts w:cs="Times New Roman" w:ascii="Times New Roman" w:hAnsi="Times New Roman"/>
                <w:smallCaps/>
              </w:rPr>
              <w:t>Bv S.S. 125-confine Prov Sud Sardegna</w:t>
            </w:r>
          </w:p>
        </w:tc>
        <w:tc>
          <w:tcPr>
            <w:tcW w:w="567" w:type="dxa"/>
            <w:tcBorders>
              <w:left w:val="single" w:sz="4" w:space="0" w:color="000000"/>
              <w:bottom w:val="single" w:sz="4"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widowControl/>
              <w:suppressLineNumbers/>
              <w:spacing w:lineRule="atLeast" w:line="300" w:before="120" w:after="120"/>
              <w:jc w:val="both"/>
              <w:textAlignment w:val="auto"/>
              <w:rPr/>
            </w:pPr>
            <w:r>
              <w:rPr>
                <w:rFonts w:cs="Times New Roman" w:ascii="Times New Roman" w:hAnsi="Times New Roman"/>
                <w:b/>
                <w:bCs/>
              </w:rPr>
              <w:t>2+215</w:t>
            </w:r>
          </w:p>
        </w:tc>
      </w:tr>
      <w:tr>
        <w:trPr>
          <w:cantSplit w:val="true"/>
        </w:trPr>
        <w:tc>
          <w:tcPr>
            <w:tcW w:w="8276" w:type="dxa"/>
            <w:gridSpan w:val="2"/>
            <w:tcBorders>
              <w:left w:val="single" w:sz="18" w:space="0" w:color="000000"/>
              <w:bottom w:val="single" w:sz="4" w:space="0" w:color="000000"/>
            </w:tcBorders>
            <w:vAlign w:val="bottom"/>
          </w:tcPr>
          <w:p>
            <w:pPr>
              <w:pStyle w:val="Standard"/>
              <w:snapToGrid w:val="false"/>
              <w:jc w:val="center"/>
              <w:rPr/>
            </w:pPr>
            <w:r>
              <w:rPr>
                <w:rFonts w:cs="Times New Roman"/>
                <w:b/>
                <w:bCs/>
                <w:color w:val="000000"/>
              </w:rPr>
              <w:t>Totale</w:t>
            </w:r>
          </w:p>
        </w:tc>
        <w:tc>
          <w:tcPr>
            <w:tcW w:w="567" w:type="dxa"/>
            <w:tcBorders>
              <w:left w:val="single" w:sz="4" w:space="0" w:color="000000"/>
              <w:bottom w:val="single" w:sz="4" w:space="0" w:color="000000"/>
            </w:tcBorders>
            <w:vAlign w:val="bottom"/>
          </w:tcPr>
          <w:p>
            <w:pPr>
              <w:pStyle w:val="Contenutotabella"/>
              <w:snapToGrid w:val="false"/>
              <w:spacing w:before="120" w:after="120"/>
              <w:rPr/>
            </w:pPr>
            <w:r>
              <w:rPr>
                <w:rFonts w:cs="Times New Roman" w:ascii="Times New Roman" w:hAnsi="Times New Roman"/>
                <w:b/>
                <w:bCs/>
              </w:rPr>
              <w:t>km</w:t>
            </w:r>
          </w:p>
        </w:tc>
        <w:tc>
          <w:tcPr>
            <w:tcW w:w="1006" w:type="dxa"/>
            <w:tcBorders>
              <w:bottom w:val="single" w:sz="4" w:space="0" w:color="000000"/>
              <w:right w:val="single" w:sz="18" w:space="0" w:color="000000"/>
            </w:tcBorders>
            <w:vAlign w:val="bottom"/>
          </w:tcPr>
          <w:p>
            <w:pPr>
              <w:pStyle w:val="Contenutotabella"/>
              <w:snapToGrid w:val="false"/>
              <w:spacing w:before="120" w:after="120"/>
              <w:jc w:val="right"/>
              <w:rPr/>
            </w:pPr>
            <w:r>
              <w:rPr>
                <w:rFonts w:cs="Times New Roman" w:ascii="Times New Roman" w:hAnsi="Times New Roman"/>
                <w:b/>
                <w:bCs/>
              </w:rPr>
              <w:t>162,297</w:t>
            </w:r>
          </w:p>
        </w:tc>
      </w:tr>
    </w:tbl>
    <w:p>
      <w:pPr>
        <w:pStyle w:val="Standard"/>
        <w:tabs>
          <w:tab w:val="clear" w:pos="708"/>
          <w:tab w:val="left" w:pos="581" w:leader="none"/>
        </w:tabs>
        <w:spacing w:lineRule="exact" w:line="300"/>
        <w:jc w:val="both"/>
        <w:rPr>
          <w:rFonts w:cs="Times New Roman"/>
          <w:color w:val="000000"/>
          <w:spacing w:val="-3"/>
        </w:rPr>
      </w:pPr>
      <w:r>
        <w:rPr>
          <w:rFonts w:cs="Times New Roman"/>
          <w:color w:val="000000"/>
          <w:spacing w:val="-3"/>
        </w:rPr>
      </w:r>
    </w:p>
    <w:p>
      <w:pPr>
        <w:pStyle w:val="StandardWW"/>
        <w:spacing w:lineRule="auto" w:line="360" w:before="280" w:after="120"/>
        <w:rPr/>
      </w:pPr>
      <w:r>
        <w:rPr/>
        <w:drawing>
          <wp:inline distT="0" distB="0" distL="0" distR="0">
            <wp:extent cx="6120130" cy="3566795"/>
            <wp:effectExtent l="0" t="0" r="0" b="0"/>
            <wp:docPr id="3" name="Immagin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12" descr=""/>
                    <pic:cNvPicPr>
                      <a:picLocks noChangeAspect="1" noChangeArrowheads="1"/>
                    </pic:cNvPicPr>
                  </pic:nvPicPr>
                  <pic:blipFill>
                    <a:blip r:embed="rId7"/>
                    <a:stretch>
                      <a:fillRect/>
                    </a:stretch>
                  </pic:blipFill>
                  <pic:spPr bwMode="auto">
                    <a:xfrm>
                      <a:off x="0" y="0"/>
                      <a:ext cx="6120130" cy="3566795"/>
                    </a:xfrm>
                    <a:prstGeom prst="rect">
                      <a:avLst/>
                    </a:prstGeom>
                  </pic:spPr>
                </pic:pic>
              </a:graphicData>
            </a:graphic>
          </wp:inline>
        </w:drawing>
      </w:r>
    </w:p>
    <w:p>
      <w:pPr>
        <w:pStyle w:val="Heading3"/>
        <w:numPr>
          <w:ilvl w:val="2"/>
          <w:numId w:val="218"/>
        </w:numPr>
        <w:rPr/>
      </w:pPr>
      <w:bookmarkStart w:id="40" w:name="__RefHeading__13_468148522"/>
      <w:bookmarkStart w:id="41" w:name="_Toc178778185"/>
      <w:bookmarkEnd w:id="40"/>
      <w:r>
        <w:rPr>
          <w:rFonts w:cs="Arial" w:ascii="Arial" w:hAnsi="Arial"/>
          <w:b/>
          <w:sz w:val="22"/>
          <w:szCs w:val="22"/>
        </w:rPr>
        <w:t>Strade statali - A.N.A.S. S.p.A.</w:t>
      </w:r>
      <w:bookmarkEnd w:id="41"/>
    </w:p>
    <w:p>
      <w:pPr>
        <w:pStyle w:val="NormaleCorpo"/>
        <w:spacing w:lineRule="auto" w:line="360" w:before="280" w:after="120"/>
        <w:rPr/>
      </w:pPr>
      <w:r>
        <w:rPr>
          <w:rFonts w:cs="Arial" w:ascii="Arial" w:hAnsi="Arial"/>
          <w:sz w:val="20"/>
          <w:szCs w:val="20"/>
        </w:rPr>
        <w:t>L'ANAS, competente per circa 160 km all’interno dell’Agglomerato di Cagliari, in data 10/04/2013 ha trasmesso alla RAS un piano di contenimento e abbattimento del rumore come previsto dalla L.q. 447/1995 e dal D.M. 29/11/2000, non ha mai invece recepito il D.Lgs 194/2005 in relazione alla elaborazione di un piano di azione come dettato dalla Direttiva 2002/49/CE.</w:t>
      </w:r>
    </w:p>
    <w:p>
      <w:pPr>
        <w:pStyle w:val="NormaleCorpo"/>
        <w:spacing w:lineRule="auto" w:line="360" w:before="280" w:after="120"/>
        <w:rPr/>
      </w:pPr>
      <w:r>
        <w:rPr>
          <w:rFonts w:cs="Arial" w:ascii="Arial" w:hAnsi="Arial"/>
          <w:color w:val="000000"/>
          <w:sz w:val="20"/>
          <w:szCs w:val="20"/>
        </w:rPr>
        <w:t>In tale documento, contestualizzabile in un piano di risanamento acustico secondo i disposti normativi indicati dalla L.q. 447/1995, sono compresi numerosi interventi programmati nell'arco di 15 anni.</w:t>
      </w:r>
    </w:p>
    <w:p>
      <w:pPr>
        <w:pStyle w:val="NormaleCorpo"/>
        <w:spacing w:lineRule="auto" w:line="360" w:before="280" w:after="120"/>
        <w:rPr/>
      </w:pPr>
      <w:r>
        <w:rPr>
          <w:rFonts w:cs="Arial" w:ascii="Arial" w:hAnsi="Arial"/>
          <w:color w:val="000000"/>
          <w:sz w:val="20"/>
          <w:szCs w:val="20"/>
        </w:rPr>
        <w:t xml:space="preserve">Gli interventi, che ricadono nel territorio dell’Agglomerato di Cagliari, la cui esecuzione era </w:t>
      </w:r>
      <w:r>
        <w:rPr>
          <w:rFonts w:cs="Arial" w:ascii="Arial" w:hAnsi="Arial"/>
          <w:color w:val="000000"/>
          <w:sz w:val="20"/>
          <w:szCs w:val="20"/>
          <w:u w:val="single"/>
        </w:rPr>
        <w:t xml:space="preserve">prevista entro il 2023 sono riportati in </w:t>
      </w:r>
      <w:r>
        <w:rPr>
          <w:rFonts w:cs="Arial" w:ascii="Arial" w:hAnsi="Arial"/>
          <w:color w:val="000000"/>
          <w:sz w:val="20"/>
          <w:szCs w:val="20"/>
          <w:u w:val="single"/>
        </w:rPr>
        <w:fldChar w:fldCharType="begin"/>
      </w:r>
      <w:r>
        <w:rPr>
          <w:sz w:val="20"/>
          <w:u w:val="single"/>
          <w:szCs w:val="20"/>
          <w:rFonts w:cs="Arial" w:ascii="Arial" w:hAnsi="Arial"/>
          <w:color w:val="000000"/>
        </w:rPr>
        <w:instrText xml:space="preserve"> REF _Ref171959996 \h </w:instrText>
      </w:r>
      <w:r>
        <w:rPr>
          <w:sz w:val="20"/>
          <w:u w:val="single"/>
          <w:szCs w:val="20"/>
          <w:rFonts w:cs="Arial" w:ascii="Arial" w:hAnsi="Arial"/>
          <w:color w:val="000000"/>
        </w:rPr>
        <w:fldChar w:fldCharType="separate"/>
      </w:r>
      <w:r>
        <w:rPr>
          <w:sz w:val="20"/>
          <w:u w:val="single"/>
          <w:szCs w:val="20"/>
          <w:rFonts w:cs="Arial" w:ascii="Arial" w:hAnsi="Arial"/>
          <w:color w:val="000000"/>
        </w:rPr>
        <w:t>Tabella 9.9</w:t>
      </w:r>
      <w:r>
        <w:rPr>
          <w:sz w:val="20"/>
          <w:u w:val="single"/>
          <w:szCs w:val="20"/>
          <w:rFonts w:cs="Arial" w:ascii="Arial" w:hAnsi="Arial"/>
          <w:color w:val="000000"/>
        </w:rPr>
        <w:fldChar w:fldCharType="end"/>
      </w:r>
      <w:r>
        <w:rPr>
          <w:rFonts w:cs="Arial" w:ascii="Arial" w:hAnsi="Arial"/>
          <w:color w:val="000000"/>
          <w:sz w:val="20"/>
          <w:szCs w:val="20"/>
          <w:u w:val="single"/>
        </w:rPr>
        <w:t>.</w:t>
      </w:r>
    </w:p>
    <w:p>
      <w:pPr>
        <w:pStyle w:val="FigureTabelle"/>
        <w:rPr/>
      </w:pPr>
      <w:bookmarkStart w:id="42" w:name="_Toc171964389"/>
      <w:bookmarkStart w:id="43" w:name="_Ref171959996"/>
      <w:r>
        <w:rPr/>
        <w:t>Tabella 9.9</w:t>
      </w:r>
      <w:bookmarkEnd w:id="43"/>
      <w:r>
        <w:rPr/>
        <w:t xml:space="preserve"> – ANAS Interventi ricadenti nel territorio dell’Agglomerato di Cagliari previsti entro il 2023</w:t>
      </w:r>
      <w:bookmarkEnd w:id="42"/>
    </w:p>
    <w:p>
      <w:pPr>
        <w:pStyle w:val="StandardWW"/>
        <w:spacing w:lineRule="auto" w:line="240"/>
        <w:rPr>
          <w:rFonts w:cs="AAKCKK+Arial, Arial"/>
          <w:color w:val="000000"/>
        </w:rPr>
      </w:pPr>
      <w:r>
        <w:rPr>
          <w:rFonts w:cs="AAKCKK+Arial, Arial"/>
          <w:color w:val="000000"/>
        </w:rPr>
      </w:r>
    </w:p>
    <w:tbl>
      <w:tblPr>
        <w:tblW w:w="9354" w:type="dxa"/>
        <w:jc w:val="left"/>
        <w:tblInd w:w="-58" w:type="dxa"/>
        <w:tblLayout w:type="fixed"/>
        <w:tblCellMar>
          <w:top w:w="57" w:type="dxa"/>
          <w:left w:w="57" w:type="dxa"/>
          <w:bottom w:w="57" w:type="dxa"/>
          <w:right w:w="57" w:type="dxa"/>
        </w:tblCellMar>
        <w:tblLook w:firstRow="0" w:noVBand="0" w:lastRow="0" w:firstColumn="0" w:lastColumn="0" w:noHBand="0" w:val="0000"/>
      </w:tblPr>
      <w:tblGrid>
        <w:gridCol w:w="1331"/>
        <w:gridCol w:w="1333"/>
        <w:gridCol w:w="1081"/>
        <w:gridCol w:w="1110"/>
        <w:gridCol w:w="1820"/>
        <w:gridCol w:w="1335"/>
        <w:gridCol w:w="1343"/>
      </w:tblGrid>
      <w:tr>
        <w:trPr>
          <w:tblHeader w:val="true"/>
        </w:trPr>
        <w:tc>
          <w:tcPr>
            <w:tcW w:w="1331"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rFonts w:cs="AAKCKK+Arial, Arial"/>
                <w:b/>
                <w:bCs/>
                <w:color w:val="000000"/>
                <w:sz w:val="18"/>
                <w:szCs w:val="18"/>
              </w:rPr>
              <w:t>Comune</w:t>
            </w:r>
          </w:p>
        </w:tc>
        <w:tc>
          <w:tcPr>
            <w:tcW w:w="1333"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rFonts w:cs="AAKCKK+Arial, Arial"/>
                <w:b/>
                <w:bCs/>
                <w:color w:val="000000"/>
                <w:sz w:val="18"/>
                <w:szCs w:val="18"/>
              </w:rPr>
              <w:t>Strada</w:t>
            </w:r>
          </w:p>
        </w:tc>
        <w:tc>
          <w:tcPr>
            <w:tcW w:w="1081"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rFonts w:cs="AAKCKK+Arial, Arial"/>
                <w:b/>
                <w:bCs/>
                <w:color w:val="000000"/>
                <w:sz w:val="18"/>
                <w:szCs w:val="18"/>
              </w:rPr>
              <w:t>km inizio</w:t>
            </w:r>
          </w:p>
        </w:tc>
        <w:tc>
          <w:tcPr>
            <w:tcW w:w="1110"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rFonts w:cs="AAKCKK+Arial, Arial"/>
                <w:b/>
                <w:bCs/>
                <w:color w:val="000000"/>
                <w:sz w:val="18"/>
                <w:szCs w:val="18"/>
              </w:rPr>
              <w:t>km fine</w:t>
            </w:r>
          </w:p>
        </w:tc>
        <w:tc>
          <w:tcPr>
            <w:tcW w:w="1820"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rFonts w:cs="AAKCKK+Arial, Arial"/>
                <w:b/>
                <w:bCs/>
                <w:color w:val="000000"/>
                <w:sz w:val="18"/>
                <w:szCs w:val="18"/>
              </w:rPr>
              <w:t>Intervento</w:t>
            </w:r>
          </w:p>
        </w:tc>
        <w:tc>
          <w:tcPr>
            <w:tcW w:w="1335"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rFonts w:cs="AAKCKK+Arial, Arial"/>
                <w:b/>
                <w:bCs/>
                <w:color w:val="000000"/>
                <w:sz w:val="18"/>
                <w:szCs w:val="18"/>
              </w:rPr>
              <w:t>Anno di piano</w:t>
            </w:r>
          </w:p>
        </w:tc>
        <w:tc>
          <w:tcPr>
            <w:tcW w:w="134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b/>
                <w:bCs/>
                <w:color w:val="000000"/>
                <w:sz w:val="18"/>
                <w:szCs w:val="18"/>
              </w:rPr>
              <w:t>Costo €</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131dir</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2,265</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3,184</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2018</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511.531</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Quartu S.Elena</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12,488</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12,998</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2022</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310.150</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Quartu S.Elena</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14,644</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14,703</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2023</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112.770</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Elmas</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2,816</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2,916</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2023</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66.000</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Quartucciu</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10,571</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10,782</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2022</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145.687</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10,057</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10,335</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p>
            <w:pPr>
              <w:pStyle w:val="StandardWW"/>
              <w:spacing w:lineRule="auto" w:line="240"/>
              <w:rPr/>
            </w:pPr>
            <w:r>
              <w:rPr>
                <w:rFonts w:cs="AAKCKK+Arial, Arial"/>
                <w:color w:val="000000"/>
                <w:sz w:val="18"/>
                <w:szCs w:val="18"/>
              </w:rPr>
              <w:t>Barriere</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2021</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381.072</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10,963</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11,270</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Barriere</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2020</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710.040</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Cagliari</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195racc</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1,285</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1,386</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2022</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66.165</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2,575</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3,002</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2021</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212.240</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9,137</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9,683</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2022</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311.261</w:t>
            </w:r>
          </w:p>
        </w:tc>
      </w:tr>
      <w:tr>
        <w:trPr/>
        <w:tc>
          <w:tcPr>
            <w:tcW w:w="1331" w:type="dxa"/>
            <w:tcBorders>
              <w:left w:val="single" w:sz="4" w:space="0" w:color="000000"/>
              <w:bottom w:val="single" w:sz="4" w:space="0" w:color="000000"/>
            </w:tcBorders>
            <w:shd w:color="auto" w:fill="auto" w:val="clear"/>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4,236</w:t>
            </w:r>
          </w:p>
        </w:tc>
        <w:tc>
          <w:tcPr>
            <w:tcW w:w="111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4,457</w:t>
            </w:r>
          </w:p>
        </w:tc>
        <w:tc>
          <w:tcPr>
            <w:tcW w:w="1820"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shd w:color="auto" w:fill="auto" w:val="clear"/>
            <w:vAlign w:val="center"/>
          </w:tcPr>
          <w:p>
            <w:pPr>
              <w:pStyle w:val="StandardWW"/>
              <w:spacing w:lineRule="auto" w:line="240"/>
              <w:rPr/>
            </w:pPr>
            <w:r>
              <w:rPr>
                <w:rFonts w:cs="AAKCKK+Arial, Arial"/>
                <w:color w:val="000000"/>
                <w:sz w:val="18"/>
                <w:szCs w:val="18"/>
              </w:rPr>
              <w:t>2023</w:t>
            </w:r>
          </w:p>
        </w:tc>
        <w:tc>
          <w:tcPr>
            <w:tcW w:w="1343"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rFonts w:cs="AAKCKK+Arial, Arial"/>
                <w:color w:val="000000"/>
                <w:sz w:val="18"/>
                <w:szCs w:val="18"/>
              </w:rPr>
              <w:t>217.675</w:t>
            </w:r>
          </w:p>
        </w:tc>
      </w:tr>
    </w:tbl>
    <w:p>
      <w:pPr>
        <w:pStyle w:val="StandardWW"/>
        <w:spacing w:lineRule="auto" w:line="240"/>
        <w:jc w:val="center"/>
        <w:rPr/>
      </w:pPr>
      <w:r>
        <w:rPr/>
      </w:r>
    </w:p>
    <w:p>
      <w:pPr>
        <w:pStyle w:val="StandardWW"/>
        <w:spacing w:lineRule="auto" w:line="240"/>
        <w:rPr>
          <w:rFonts w:cs="AAKCKK+Arial, Arial"/>
          <w:color w:val="000000"/>
        </w:rPr>
      </w:pPr>
      <w:r>
        <w:rPr>
          <w:rFonts w:cs="AAKCKK+Arial, Arial"/>
          <w:color w:val="000000"/>
        </w:rPr>
      </w:r>
    </w:p>
    <w:p>
      <w:pPr>
        <w:pStyle w:val="StandardWW"/>
        <w:spacing w:lineRule="auto" w:line="240"/>
        <w:rPr/>
      </w:pPr>
      <w:r>
        <w:rPr>
          <w:rFonts w:cs="AAKCKK+Arial, Arial"/>
          <w:color w:val="000000"/>
        </w:rPr>
        <w:t xml:space="preserve">Gli interventi la cui </w:t>
      </w:r>
      <w:r>
        <w:rPr>
          <w:rFonts w:cs="AAKCKK+Arial, Arial"/>
          <w:color w:val="000000"/>
          <w:u w:val="single"/>
        </w:rPr>
        <w:t>esecuzione è prevista oltre i cinque anni di validità del piano d'azione</w:t>
      </w:r>
      <w:r>
        <w:rPr>
          <w:rFonts w:cs="AAKCKK+Arial, Arial"/>
          <w:color w:val="000000"/>
        </w:rPr>
        <w:t xml:space="preserve"> sono riportati in </w:t>
      </w:r>
      <w:r>
        <w:rPr>
          <w:rFonts w:cs="AAKCKK+Arial, Arial"/>
          <w:color w:val="000000"/>
        </w:rPr>
        <w:fldChar w:fldCharType="begin"/>
      </w:r>
      <w:r>
        <w:rPr>
          <w:rFonts w:cs="AAKCKK+Arial, Arial"/>
          <w:color w:val="000000"/>
        </w:rPr>
        <w:instrText xml:space="preserve"> REF _Ref171960148 \h </w:instrText>
      </w:r>
      <w:r>
        <w:rPr>
          <w:rFonts w:cs="AAKCKK+Arial, Arial"/>
          <w:color w:val="000000"/>
        </w:rPr>
        <w:fldChar w:fldCharType="separate"/>
      </w:r>
      <w:r>
        <w:rPr>
          <w:rFonts w:cs="AAKCKK+Arial, Arial"/>
          <w:color w:val="000000"/>
        </w:rPr>
        <w:t>Tabella 9.10</w:t>
      </w:r>
      <w:r>
        <w:rPr>
          <w:rFonts w:cs="AAKCKK+Arial, Arial"/>
          <w:color w:val="000000"/>
        </w:rPr>
        <w:fldChar w:fldCharType="end"/>
      </w:r>
      <w:r>
        <w:rPr>
          <w:rFonts w:cs="AAKCKK+Arial, Arial"/>
          <w:color w:val="000000"/>
        </w:rPr>
        <w:t>.</w:t>
      </w:r>
    </w:p>
    <w:p>
      <w:pPr>
        <w:pStyle w:val="StandardWW"/>
        <w:spacing w:lineRule="auto" w:line="240"/>
        <w:rPr>
          <w:rFonts w:cs="AAKCKK+Arial, Arial"/>
          <w:color w:val="000000"/>
        </w:rPr>
      </w:pPr>
      <w:r>
        <w:rPr>
          <w:rFonts w:cs="AAKCKK+Arial, Arial"/>
          <w:color w:val="000000"/>
        </w:rPr>
      </w:r>
    </w:p>
    <w:p>
      <w:pPr>
        <w:pStyle w:val="FigureTabelle"/>
        <w:rPr/>
      </w:pPr>
      <w:bookmarkStart w:id="44" w:name="_Toc171964390"/>
      <w:bookmarkStart w:id="45" w:name="_Ref171960148"/>
      <w:r>
        <w:rPr/>
        <w:t>Tabella 9.10</w:t>
      </w:r>
      <w:bookmarkEnd w:id="45"/>
      <w:r>
        <w:rPr/>
        <w:t xml:space="preserve"> – ANAS Interventi la cui esecuzione è prevista oltre i cinque anni di validità del piano d'azione</w:t>
      </w:r>
      <w:bookmarkEnd w:id="44"/>
    </w:p>
    <w:tbl>
      <w:tblPr>
        <w:tblW w:w="9354" w:type="dxa"/>
        <w:jc w:val="left"/>
        <w:tblInd w:w="-58" w:type="dxa"/>
        <w:tblLayout w:type="fixed"/>
        <w:tblCellMar>
          <w:top w:w="57" w:type="dxa"/>
          <w:left w:w="57" w:type="dxa"/>
          <w:bottom w:w="57" w:type="dxa"/>
          <w:right w:w="57" w:type="dxa"/>
        </w:tblCellMar>
        <w:tblLook w:firstRow="0" w:noVBand="0" w:lastRow="0" w:firstColumn="0" w:lastColumn="0" w:noHBand="0" w:val="0000"/>
      </w:tblPr>
      <w:tblGrid>
        <w:gridCol w:w="1331"/>
        <w:gridCol w:w="1333"/>
        <w:gridCol w:w="1081"/>
        <w:gridCol w:w="1110"/>
        <w:gridCol w:w="1820"/>
        <w:gridCol w:w="1335"/>
        <w:gridCol w:w="1343"/>
      </w:tblGrid>
      <w:tr>
        <w:trPr>
          <w:tblHeader w:val="true"/>
          <w:cantSplit w:val="true"/>
        </w:trPr>
        <w:tc>
          <w:tcPr>
            <w:tcW w:w="1331" w:type="dxa"/>
            <w:tcBorders>
              <w:top w:val="single" w:sz="4" w:space="0" w:color="000000"/>
              <w:left w:val="single" w:sz="4" w:space="0" w:color="000000"/>
              <w:bottom w:val="single" w:sz="4" w:space="0" w:color="000000"/>
            </w:tcBorders>
            <w:vAlign w:val="center"/>
          </w:tcPr>
          <w:p>
            <w:pPr>
              <w:pStyle w:val="StandardWW"/>
              <w:spacing w:lineRule="auto" w:line="240"/>
              <w:rPr/>
            </w:pPr>
            <w:r>
              <w:rPr>
                <w:rFonts w:cs="AAKCKK+Arial, Arial"/>
                <w:b/>
                <w:bCs/>
                <w:color w:val="000000"/>
                <w:sz w:val="18"/>
                <w:szCs w:val="18"/>
              </w:rPr>
              <w:t>Comune</w:t>
            </w:r>
          </w:p>
        </w:tc>
        <w:tc>
          <w:tcPr>
            <w:tcW w:w="1333" w:type="dxa"/>
            <w:tcBorders>
              <w:top w:val="single" w:sz="4" w:space="0" w:color="000000"/>
              <w:left w:val="single" w:sz="4" w:space="0" w:color="000000"/>
              <w:bottom w:val="single" w:sz="4" w:space="0" w:color="000000"/>
            </w:tcBorders>
            <w:vAlign w:val="center"/>
          </w:tcPr>
          <w:p>
            <w:pPr>
              <w:pStyle w:val="StandardWW"/>
              <w:spacing w:lineRule="auto" w:line="240"/>
              <w:rPr/>
            </w:pPr>
            <w:r>
              <w:rPr>
                <w:rFonts w:cs="AAKCKK+Arial, Arial"/>
                <w:b/>
                <w:bCs/>
                <w:color w:val="000000"/>
                <w:sz w:val="18"/>
                <w:szCs w:val="18"/>
              </w:rPr>
              <w:t>Strada</w:t>
            </w:r>
          </w:p>
        </w:tc>
        <w:tc>
          <w:tcPr>
            <w:tcW w:w="1081" w:type="dxa"/>
            <w:tcBorders>
              <w:top w:val="single" w:sz="4" w:space="0" w:color="000000"/>
              <w:left w:val="single" w:sz="4" w:space="0" w:color="000000"/>
              <w:bottom w:val="single" w:sz="4" w:space="0" w:color="000000"/>
            </w:tcBorders>
            <w:vAlign w:val="center"/>
          </w:tcPr>
          <w:p>
            <w:pPr>
              <w:pStyle w:val="StandardWW"/>
              <w:spacing w:lineRule="auto" w:line="240"/>
              <w:rPr/>
            </w:pPr>
            <w:r>
              <w:rPr>
                <w:rFonts w:cs="AAKCKK+Arial, Arial"/>
                <w:b/>
                <w:bCs/>
                <w:color w:val="000000"/>
                <w:sz w:val="18"/>
                <w:szCs w:val="18"/>
              </w:rPr>
              <w:t>km inizio</w:t>
            </w:r>
          </w:p>
        </w:tc>
        <w:tc>
          <w:tcPr>
            <w:tcW w:w="1110" w:type="dxa"/>
            <w:tcBorders>
              <w:top w:val="single" w:sz="4" w:space="0" w:color="000000"/>
              <w:left w:val="single" w:sz="4" w:space="0" w:color="000000"/>
              <w:bottom w:val="single" w:sz="4" w:space="0" w:color="000000"/>
            </w:tcBorders>
            <w:vAlign w:val="center"/>
          </w:tcPr>
          <w:p>
            <w:pPr>
              <w:pStyle w:val="StandardWW"/>
              <w:spacing w:lineRule="auto" w:line="240"/>
              <w:rPr/>
            </w:pPr>
            <w:r>
              <w:rPr>
                <w:rFonts w:cs="AAKCKK+Arial, Arial"/>
                <w:b/>
                <w:bCs/>
                <w:color w:val="000000"/>
                <w:sz w:val="18"/>
                <w:szCs w:val="18"/>
              </w:rPr>
              <w:t>km fine</w:t>
            </w:r>
          </w:p>
        </w:tc>
        <w:tc>
          <w:tcPr>
            <w:tcW w:w="1820" w:type="dxa"/>
            <w:tcBorders>
              <w:top w:val="single" w:sz="4" w:space="0" w:color="000000"/>
              <w:left w:val="single" w:sz="4" w:space="0" w:color="000000"/>
              <w:bottom w:val="single" w:sz="4" w:space="0" w:color="000000"/>
            </w:tcBorders>
            <w:vAlign w:val="center"/>
          </w:tcPr>
          <w:p>
            <w:pPr>
              <w:pStyle w:val="StandardWW"/>
              <w:spacing w:lineRule="auto" w:line="240"/>
              <w:rPr/>
            </w:pPr>
            <w:r>
              <w:rPr>
                <w:rFonts w:cs="AAKCKK+Arial, Arial"/>
                <w:b/>
                <w:bCs/>
                <w:color w:val="000000"/>
                <w:sz w:val="18"/>
                <w:szCs w:val="18"/>
              </w:rPr>
              <w:t>Intervento</w:t>
            </w:r>
          </w:p>
        </w:tc>
        <w:tc>
          <w:tcPr>
            <w:tcW w:w="1335" w:type="dxa"/>
            <w:tcBorders>
              <w:top w:val="single" w:sz="4" w:space="0" w:color="000000"/>
              <w:left w:val="single" w:sz="4" w:space="0" w:color="000000"/>
              <w:bottom w:val="single" w:sz="4" w:space="0" w:color="000000"/>
            </w:tcBorders>
            <w:vAlign w:val="center"/>
          </w:tcPr>
          <w:p>
            <w:pPr>
              <w:pStyle w:val="StandardWW"/>
              <w:spacing w:lineRule="auto" w:line="240"/>
              <w:rPr/>
            </w:pPr>
            <w:r>
              <w:rPr>
                <w:rFonts w:cs="AAKCKK+Arial, Arial"/>
                <w:b/>
                <w:bCs/>
                <w:color w:val="000000"/>
                <w:sz w:val="18"/>
                <w:szCs w:val="18"/>
              </w:rPr>
              <w:t>Anno di piano</w:t>
            </w:r>
          </w:p>
        </w:tc>
        <w:tc>
          <w:tcPr>
            <w:tcW w:w="1343" w:type="dxa"/>
            <w:tcBorders>
              <w:top w:val="single" w:sz="4" w:space="0" w:color="000000"/>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b/>
                <w:bCs/>
                <w:color w:val="000000"/>
                <w:sz w:val="18"/>
                <w:szCs w:val="18"/>
              </w:rPr>
              <w:t>Costo €</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Quartu S.Elena</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11,984</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12,105</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154.060</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Sestu</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131</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10,702</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10,801</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76.910</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Sestu</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131</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 xml:space="preserve"> </w:t>
            </w:r>
            <w:r>
              <w:rPr>
                <w:rFonts w:cs="AAKCKK+Arial, Arial"/>
                <w:color w:val="000000"/>
                <w:sz w:val="18"/>
                <w:szCs w:val="18"/>
              </w:rPr>
              <w:t>7,413</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 xml:space="preserve"> </w:t>
            </w:r>
            <w:r>
              <w:rPr>
                <w:rFonts w:cs="AAKCKK+Arial, Arial"/>
                <w:color w:val="000000"/>
                <w:sz w:val="18"/>
                <w:szCs w:val="18"/>
              </w:rPr>
              <w:t>7,652</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152.145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Sestu</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131</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13,838</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13,937</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75.400</w:t>
            </w:r>
          </w:p>
        </w:tc>
      </w:tr>
      <w:tr>
        <w:trPr>
          <w:trHeight w:val="495" w:hRule="atLeast"/>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Elmas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6,392</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6,673</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148.945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Elmas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5,858</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5,958</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118.282</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Elmas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6,209</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6,308</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83.947</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Quartucciu</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10,105</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10,368</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2026</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162.355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Quartucciu</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9,781</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9,880</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82.057</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Quartucciu</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125</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5,640</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5,739</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65.835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10,445</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10,775</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150.885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9,069</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9,169</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66.000</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11,607</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11,768</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2026</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116.235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9,669</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9,888</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2026</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142852</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12,821</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12,921</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2026</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80.905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12,121</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12,221</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100.327</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130</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11,884</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11,984</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71.347</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Assemini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131</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7,840</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7,940</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108.360</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Cagliari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1,710</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1,927</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162.855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Cagliari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5,405</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5,506</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146.828</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Cagliari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2,309</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2,410</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71.977</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Cagliari</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5,595</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5,829</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2027</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134.977</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3,390</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3,758</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180.214</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7,295</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7,394</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2024</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149.146</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7,620</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7,719</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p>
            <w:pPr>
              <w:pStyle w:val="StandardWW"/>
              <w:spacing w:lineRule="auto" w:line="240"/>
              <w:rPr/>
            </w:pPr>
            <w:r>
              <w:rPr>
                <w:rFonts w:cs="AAKCKK+Arial, Arial"/>
                <w:color w:val="000000"/>
                <w:sz w:val="18"/>
                <w:szCs w:val="18"/>
              </w:rPr>
              <w:t>Infissi edifici</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2026</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126.878</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3,906</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4,007</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2026</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91.192</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6,725</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6,822</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125.055</w:t>
            </w:r>
          </w:p>
        </w:tc>
      </w:tr>
      <w:tr>
        <w:trPr>
          <w:cantSplit w:val="true"/>
        </w:trPr>
        <w:tc>
          <w:tcPr>
            <w:tcW w:w="1331" w:type="dxa"/>
            <w:tcBorders>
              <w:left w:val="single" w:sz="4" w:space="0" w:color="000000"/>
              <w:bottom w:val="single" w:sz="4" w:space="0" w:color="000000"/>
            </w:tcBorders>
            <w:vAlign w:val="center"/>
          </w:tcPr>
          <w:p>
            <w:pPr>
              <w:pStyle w:val="StandardWW"/>
              <w:snapToGrid w:val="false"/>
              <w:spacing w:lineRule="auto" w:line="240"/>
              <w:rPr/>
            </w:pPr>
            <w:r>
              <w:rPr>
                <w:rFonts w:cs="AAKCKK+Arial, Arial"/>
                <w:color w:val="000000"/>
                <w:sz w:val="18"/>
                <w:szCs w:val="18"/>
              </w:rPr>
              <w:t>Selargius</w:t>
            </w:r>
          </w:p>
        </w:tc>
        <w:tc>
          <w:tcPr>
            <w:tcW w:w="1333"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SS 554</w:t>
            </w:r>
          </w:p>
        </w:tc>
        <w:tc>
          <w:tcPr>
            <w:tcW w:w="1081"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3,188</w:t>
            </w:r>
          </w:p>
        </w:tc>
        <w:tc>
          <w:tcPr>
            <w:tcW w:w="111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3,350</w:t>
            </w:r>
          </w:p>
        </w:tc>
        <w:tc>
          <w:tcPr>
            <w:tcW w:w="1820"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Pavimentazione fonoassorbente</w:t>
            </w:r>
          </w:p>
        </w:tc>
        <w:tc>
          <w:tcPr>
            <w:tcW w:w="1335" w:type="dxa"/>
            <w:tcBorders>
              <w:left w:val="single" w:sz="4" w:space="0" w:color="000000"/>
              <w:bottom w:val="single" w:sz="4" w:space="0" w:color="000000"/>
            </w:tcBorders>
            <w:vAlign w:val="center"/>
          </w:tcPr>
          <w:p>
            <w:pPr>
              <w:pStyle w:val="StandardWW"/>
              <w:spacing w:lineRule="auto" w:line="240"/>
              <w:rPr/>
            </w:pPr>
            <w:r>
              <w:rPr>
                <w:rFonts w:cs="AAKCKK+Arial, Arial"/>
                <w:color w:val="000000"/>
                <w:sz w:val="18"/>
                <w:szCs w:val="18"/>
              </w:rPr>
              <w:t>2028</w:t>
            </w:r>
          </w:p>
        </w:tc>
        <w:tc>
          <w:tcPr>
            <w:tcW w:w="1343" w:type="dxa"/>
            <w:tcBorders>
              <w:left w:val="single" w:sz="4" w:space="0" w:color="000000"/>
              <w:bottom w:val="single" w:sz="4" w:space="0" w:color="000000"/>
              <w:right w:val="single" w:sz="4" w:space="0" w:color="000000"/>
            </w:tcBorders>
            <w:vAlign w:val="center"/>
          </w:tcPr>
          <w:p>
            <w:pPr>
              <w:pStyle w:val="StandardWW"/>
              <w:spacing w:lineRule="auto" w:line="240"/>
              <w:rPr/>
            </w:pPr>
            <w:r>
              <w:rPr>
                <w:rFonts w:cs="AAKCKK+Arial, Arial"/>
                <w:color w:val="000000"/>
                <w:sz w:val="18"/>
                <w:szCs w:val="18"/>
              </w:rPr>
              <w:t>86.625</w:t>
            </w:r>
          </w:p>
        </w:tc>
      </w:tr>
    </w:tbl>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Heading2"/>
        <w:numPr>
          <w:ilvl w:val="1"/>
          <w:numId w:val="219"/>
        </w:numPr>
        <w:rPr/>
      </w:pPr>
      <w:bookmarkStart w:id="46" w:name="__RefHeading__15_468148522"/>
      <w:bookmarkStart w:id="47" w:name="_Toc178778186"/>
      <w:bookmarkEnd w:id="46"/>
      <w:r>
        <w:rPr/>
        <w:t>Piani di risanamento acustico trasporto pubblico locale</w:t>
      </w:r>
      <w:bookmarkEnd w:id="47"/>
    </w:p>
    <w:p>
      <w:pPr>
        <w:pStyle w:val="Heading3"/>
        <w:numPr>
          <w:ilvl w:val="2"/>
          <w:numId w:val="220"/>
        </w:numPr>
        <w:rPr/>
      </w:pPr>
      <w:bookmarkStart w:id="48" w:name="__RefHeading___Toc6670_1402685738"/>
      <w:bookmarkStart w:id="49" w:name="_Toc178778187"/>
      <w:bookmarkEnd w:id="48"/>
      <w:r>
        <w:rPr>
          <w:rFonts w:cs="Arial" w:ascii="Arial" w:hAnsi="Arial"/>
          <w:b/>
          <w:sz w:val="22"/>
          <w:szCs w:val="22"/>
        </w:rPr>
        <w:t>Trasporto Pubblico Locale - C.T.M. S.p.A.</w:t>
      </w:r>
      <w:bookmarkEnd w:id="49"/>
    </w:p>
    <w:p>
      <w:pPr>
        <w:pStyle w:val="StandardWW"/>
        <w:rPr>
          <w:b/>
          <w:bCs/>
        </w:rPr>
      </w:pPr>
      <w:r>
        <w:rPr>
          <w:b/>
          <w:bCs/>
        </w:rPr>
      </w:r>
    </w:p>
    <w:p>
      <w:pPr>
        <w:pStyle w:val="NormaleCorpo"/>
        <w:rPr/>
      </w:pPr>
      <w:r>
        <w:rPr>
          <w:rFonts w:cs="Arial" w:ascii="Arial" w:hAnsi="Arial"/>
          <w:sz w:val="20"/>
          <w:szCs w:val="20"/>
        </w:rPr>
        <w:t>CTM è l’azienda che garantisce il servizio di trasporto pubblico locale nell’area vasta cagliaritana, servendo 7 comuni dell'Agglomerato; sono esclusi Settimo S.Pietro, Sestu e Maracalagonis.</w:t>
      </w:r>
    </w:p>
    <w:p>
      <w:pPr>
        <w:pStyle w:val="NormaleCorpo"/>
        <w:rPr/>
      </w:pPr>
      <w:r>
        <w:rPr>
          <w:rFonts w:cs="Arial" w:ascii="Arial" w:hAnsi="Arial"/>
          <w:sz w:val="20"/>
          <w:szCs w:val="20"/>
        </w:rPr>
        <w:t>CTM è una società per azioni a totale capitale pubblico e gli azionisti sono: il Comune di Cagliari (67,5%), il Comune di Quartu S.Elena (7,5%) e la Città Metropolitana di Cagliari (25%).</w:t>
      </w:r>
    </w:p>
    <w:p>
      <w:pPr>
        <w:pStyle w:val="NormaleCorpo"/>
        <w:rPr/>
      </w:pPr>
      <w:r>
        <w:rPr>
          <w:rFonts w:cs="Arial" w:ascii="Arial" w:hAnsi="Arial"/>
          <w:sz w:val="20"/>
          <w:szCs w:val="20"/>
        </w:rPr>
        <w:t>La missione di CTM è quella di favorire nel suo complesso la mobilità nell’area vasta cagliaritana. In quest’ottica si caratterizzano i campi di attività in cui l’azienda è impegnata:</w:t>
      </w:r>
    </w:p>
    <w:p>
      <w:pPr>
        <w:pStyle w:val="NormaleCorpo"/>
        <w:numPr>
          <w:ilvl w:val="0"/>
          <w:numId w:val="7"/>
        </w:numPr>
        <w:rPr/>
      </w:pPr>
      <w:r>
        <w:rPr>
          <w:rFonts w:cs="Arial" w:ascii="Arial" w:hAnsi="Arial"/>
          <w:sz w:val="20"/>
          <w:szCs w:val="20"/>
        </w:rPr>
        <w:t>trasporto pubblico di persone;</w:t>
      </w:r>
    </w:p>
    <w:p>
      <w:pPr>
        <w:pStyle w:val="NormaleCorpo"/>
        <w:numPr>
          <w:ilvl w:val="0"/>
          <w:numId w:val="221"/>
        </w:numPr>
        <w:rPr/>
      </w:pPr>
      <w:r>
        <w:rPr>
          <w:rFonts w:cs="Arial" w:ascii="Arial" w:hAnsi="Arial"/>
          <w:sz w:val="20"/>
          <w:szCs w:val="20"/>
        </w:rPr>
        <w:t>progetti per la mobilità e sviluppo tecnologico anche attraverso la propria società controllata Technomobility (ormai fusa nell’azienda) e la società partecipata ITS Scarl costituita dal Comune di Cagliari e da altri sei comuni e la Città Metropolitana di Cagliari;</w:t>
      </w:r>
    </w:p>
    <w:p>
      <w:pPr>
        <w:pStyle w:val="NormaleCorpo"/>
        <w:numPr>
          <w:ilvl w:val="0"/>
          <w:numId w:val="222"/>
        </w:numPr>
        <w:rPr/>
      </w:pPr>
      <w:r>
        <w:rPr>
          <w:rFonts w:cs="Arial" w:ascii="Arial" w:hAnsi="Arial"/>
          <w:sz w:val="20"/>
          <w:szCs w:val="20"/>
        </w:rPr>
        <w:t>sicurezza dei trasporti;</w:t>
      </w:r>
    </w:p>
    <w:p>
      <w:pPr>
        <w:pStyle w:val="NormaleCorpo"/>
        <w:numPr>
          <w:ilvl w:val="0"/>
          <w:numId w:val="223"/>
        </w:numPr>
        <w:rPr/>
      </w:pPr>
      <w:r>
        <w:rPr>
          <w:rFonts w:cs="Arial" w:ascii="Arial" w:hAnsi="Arial"/>
          <w:sz w:val="20"/>
          <w:szCs w:val="20"/>
        </w:rPr>
        <w:t>gestione della sosta attraverso la società controllata Parkar.</w:t>
      </w:r>
    </w:p>
    <w:p>
      <w:pPr>
        <w:pStyle w:val="StandardWW"/>
        <w:spacing w:lineRule="auto" w:line="240"/>
        <w:rPr/>
      </w:pPr>
      <w:r>
        <w:rPr/>
      </w:r>
    </w:p>
    <w:p>
      <w:pPr>
        <w:pStyle w:val="NormaleCorpo"/>
        <w:rPr/>
      </w:pPr>
      <w:r>
        <w:rPr>
          <w:rFonts w:cs="Arial" w:ascii="Arial" w:hAnsi="Arial"/>
          <w:sz w:val="20"/>
          <w:szCs w:val="20"/>
        </w:rPr>
        <w:t>L'azienda ha 809 dipendenti al 2024 di cui:</w:t>
      </w:r>
    </w:p>
    <w:p>
      <w:pPr>
        <w:pStyle w:val="NormaleCorpo"/>
        <w:numPr>
          <w:ilvl w:val="0"/>
          <w:numId w:val="8"/>
        </w:numPr>
        <w:rPr/>
      </w:pPr>
      <w:r>
        <w:rPr>
          <w:rFonts w:cs="Arial" w:ascii="Arial" w:hAnsi="Arial"/>
          <w:sz w:val="20"/>
          <w:szCs w:val="20"/>
        </w:rPr>
        <w:t>555 personale viaggiante</w:t>
      </w:r>
    </w:p>
    <w:p>
      <w:pPr>
        <w:pStyle w:val="NormaleCorpo"/>
        <w:numPr>
          <w:ilvl w:val="0"/>
          <w:numId w:val="224"/>
        </w:numPr>
        <w:rPr/>
      </w:pPr>
      <w:r>
        <w:rPr>
          <w:rFonts w:cs="Arial" w:ascii="Arial" w:hAnsi="Arial"/>
          <w:sz w:val="20"/>
          <w:szCs w:val="20"/>
        </w:rPr>
        <w:t>15 Quadri</w:t>
      </w:r>
    </w:p>
    <w:p>
      <w:pPr>
        <w:pStyle w:val="NormaleCorpo"/>
        <w:numPr>
          <w:ilvl w:val="0"/>
          <w:numId w:val="225"/>
        </w:numPr>
        <w:rPr/>
      </w:pPr>
      <w:r>
        <w:rPr>
          <w:rFonts w:cs="Arial" w:ascii="Arial" w:hAnsi="Arial"/>
          <w:sz w:val="20"/>
          <w:szCs w:val="20"/>
        </w:rPr>
        <w:t>145 personale officina e deposito</w:t>
      </w:r>
    </w:p>
    <w:p>
      <w:pPr>
        <w:pStyle w:val="NormaleCorpo"/>
        <w:numPr>
          <w:ilvl w:val="0"/>
          <w:numId w:val="226"/>
        </w:numPr>
        <w:rPr/>
      </w:pPr>
      <w:r>
        <w:rPr>
          <w:rFonts w:cs="Arial" w:ascii="Arial" w:hAnsi="Arial"/>
          <w:sz w:val="20"/>
          <w:szCs w:val="20"/>
        </w:rPr>
        <w:t>89 impiegati</w:t>
      </w:r>
    </w:p>
    <w:p>
      <w:pPr>
        <w:pStyle w:val="NormaleCorpo"/>
        <w:numPr>
          <w:ilvl w:val="0"/>
          <w:numId w:val="227"/>
        </w:numPr>
        <w:rPr/>
      </w:pPr>
      <w:r>
        <w:rPr>
          <w:rFonts w:cs="Arial" w:ascii="Arial" w:hAnsi="Arial"/>
          <w:sz w:val="20"/>
          <w:szCs w:val="20"/>
        </w:rPr>
        <w:t>5 dirigenti</w:t>
      </w:r>
    </w:p>
    <w:p>
      <w:pPr>
        <w:pStyle w:val="StandardWW"/>
        <w:spacing w:lineRule="auto" w:line="240"/>
        <w:rPr>
          <w:color w:val="231F20"/>
        </w:rPr>
      </w:pPr>
      <w:r>
        <w:rPr>
          <w:color w:val="231F20"/>
        </w:rPr>
      </w:r>
    </w:p>
    <w:p>
      <w:pPr>
        <w:pStyle w:val="StandardWW"/>
        <w:spacing w:lineRule="auto" w:line="240"/>
        <w:rPr/>
      </w:pPr>
      <w:r>
        <w:rPr/>
        <w:t>Il servizio erogato da CTM è svolto mediante autobus e filobus e si sviluppa su 32 linee con un parco mezzi composto da 235 unità a motore a scoppio con un età media di 7,3 anni e 32 unità elettriche (di cui 16 entrati in esercizio nuovi nel 2016) con una età media di 2,9 anni.</w:t>
      </w:r>
    </w:p>
    <w:p>
      <w:pPr>
        <w:pStyle w:val="StandardWW"/>
        <w:spacing w:lineRule="auto" w:line="240"/>
        <w:rPr/>
      </w:pPr>
      <w:r>
        <w:rPr>
          <w:color w:val="231F20"/>
        </w:rPr>
        <w:t>I mezzi CTM percorrono oltre 12 milioni di chilometri in linea l’anno, su un’area di 402 Km</w:t>
      </w:r>
      <w:r>
        <w:rPr>
          <w:color w:val="231F20"/>
          <w:vertAlign w:val="superscript"/>
        </w:rPr>
        <w:t>2</w:t>
      </w:r>
      <w:r>
        <w:rPr>
          <w:color w:val="231F20"/>
        </w:rPr>
        <w:t>, lungo una rete di 432 Km che attraversa i territori di 8 Comuni dell’area vasta: Cagliari, Quartu S.E., Quartucciu, Monserrato, Selargius, Elmas, Assemini e Decimomannu. La popolazione residente nell’area servita è pari a circa 332.000 unità.</w:t>
      </w:r>
    </w:p>
    <w:p>
      <w:pPr>
        <w:pStyle w:val="StandardWW"/>
        <w:spacing w:lineRule="auto" w:line="240"/>
        <w:rPr/>
      </w:pPr>
      <w:r>
        <w:rPr>
          <w:color w:val="231F20"/>
        </w:rPr>
        <w:t>Il servizio di trasporto CTM è operativo 365 giorni all’anno. Mediamente in un giorno feriale del servizio invernale vengono effettuate 3429 corse. Lungo la rete autofilotranviaria sono ubicate 967 fermate.</w:t>
      </w:r>
    </w:p>
    <w:p>
      <w:pPr>
        <w:pStyle w:val="StandardWW"/>
        <w:spacing w:lineRule="auto" w:line="240"/>
        <w:rPr>
          <w:iCs/>
          <w:color w:val="231F20"/>
          <w:shd w:fill="00FFFF" w:val="clear"/>
        </w:rPr>
      </w:pPr>
      <w:r>
        <w:rPr>
          <w:iCs/>
          <w:color w:val="231F20"/>
          <w:shd w:fill="00FFFF" w:val="clear"/>
        </w:rPr>
      </w:r>
    </w:p>
    <w:p>
      <w:pPr>
        <w:pStyle w:val="StandardWW"/>
        <w:tabs>
          <w:tab w:val="clear" w:pos="708"/>
          <w:tab w:val="left" w:pos="5111" w:leader="none"/>
        </w:tabs>
        <w:spacing w:lineRule="auto" w:line="240"/>
        <w:rPr/>
      </w:pPr>
      <w:r>
        <w:rPr>
          <w:bCs/>
          <w:color w:val="231F20"/>
        </w:rPr>
        <w:t>Comuni interessati dal servizio:</w:t>
        <w:tab/>
        <w:t>8 (7 comuni dell’Agglomerato)</w:t>
      </w:r>
    </w:p>
    <w:p>
      <w:pPr>
        <w:pStyle w:val="StandardWW"/>
        <w:tabs>
          <w:tab w:val="clear" w:pos="708"/>
          <w:tab w:val="left" w:pos="5111" w:leader="none"/>
        </w:tabs>
        <w:spacing w:lineRule="auto" w:line="240"/>
        <w:rPr/>
      </w:pPr>
      <w:r>
        <w:rPr>
          <w:bCs/>
          <w:color w:val="231F20"/>
        </w:rPr>
        <w:t>Popolazione residente:</w:t>
        <w:tab/>
        <w:t>320.994 abitanti (comuni Agglomerato)</w:t>
      </w:r>
    </w:p>
    <w:p>
      <w:pPr>
        <w:pStyle w:val="StandardWW"/>
        <w:tabs>
          <w:tab w:val="clear" w:pos="708"/>
          <w:tab w:val="left" w:pos="5111" w:leader="none"/>
        </w:tabs>
        <w:spacing w:lineRule="auto" w:line="240"/>
        <w:rPr/>
      </w:pPr>
      <w:r>
        <w:rPr>
          <w:bCs/>
          <w:color w:val="231F20"/>
        </w:rPr>
        <w:t>Utenza potenziale servita:</w:t>
        <w:tab/>
        <w:t>367.463 abitanti</w:t>
      </w:r>
    </w:p>
    <w:p>
      <w:pPr>
        <w:pStyle w:val="StandardWW"/>
        <w:tabs>
          <w:tab w:val="clear" w:pos="708"/>
          <w:tab w:val="left" w:pos="5111" w:leader="none"/>
        </w:tabs>
        <w:spacing w:lineRule="auto" w:line="240"/>
        <w:rPr/>
      </w:pPr>
      <w:r>
        <w:rPr>
          <w:bCs/>
          <w:color w:val="231F20"/>
        </w:rPr>
        <w:t>Superficie territoriale Comuni serviti:</w:t>
        <w:tab/>
        <w:t>402 km</w:t>
      </w:r>
      <w:r>
        <w:rPr>
          <w:bCs/>
          <w:color w:val="231F20"/>
          <w:vertAlign w:val="superscript"/>
        </w:rPr>
        <w:t>2</w:t>
      </w:r>
    </w:p>
    <w:p>
      <w:pPr>
        <w:pStyle w:val="StandardWW"/>
        <w:tabs>
          <w:tab w:val="clear" w:pos="708"/>
          <w:tab w:val="left" w:pos="5111" w:leader="none"/>
        </w:tabs>
        <w:spacing w:lineRule="auto" w:line="240"/>
        <w:rPr/>
      </w:pPr>
      <w:r>
        <w:rPr>
          <w:bCs/>
          <w:color w:val="231F20"/>
        </w:rPr>
        <w:t>Lunghezza rete:</w:t>
        <w:tab/>
        <w:t>353 km</w:t>
      </w:r>
    </w:p>
    <w:p>
      <w:pPr>
        <w:pStyle w:val="StandardWW"/>
        <w:tabs>
          <w:tab w:val="clear" w:pos="708"/>
          <w:tab w:val="left" w:pos="5111" w:leader="none"/>
        </w:tabs>
        <w:spacing w:lineRule="auto" w:line="240"/>
        <w:rPr/>
      </w:pPr>
      <w:r>
        <w:rPr>
          <w:bCs/>
          <w:color w:val="231F20"/>
        </w:rPr>
        <w:t>Offerta per abitante:</w:t>
        <w:tab/>
        <w:t>38,17 km/anno</w:t>
      </w:r>
    </w:p>
    <w:p>
      <w:pPr>
        <w:pStyle w:val="StandardWW"/>
        <w:tabs>
          <w:tab w:val="clear" w:pos="708"/>
          <w:tab w:val="left" w:pos="5111" w:leader="none"/>
        </w:tabs>
        <w:spacing w:lineRule="auto" w:line="240"/>
        <w:rPr/>
      </w:pPr>
      <w:r>
        <w:rPr>
          <w:bCs/>
          <w:color w:val="231F20"/>
        </w:rPr>
        <w:t>Linee:</w:t>
        <w:tab/>
        <w:t>32 di cui 3 filoviarie</w:t>
      </w:r>
    </w:p>
    <w:p>
      <w:pPr>
        <w:pStyle w:val="StandardWW"/>
        <w:tabs>
          <w:tab w:val="clear" w:pos="708"/>
          <w:tab w:val="left" w:pos="5111" w:leader="none"/>
        </w:tabs>
        <w:spacing w:lineRule="auto" w:line="240"/>
        <w:rPr/>
      </w:pPr>
      <w:r>
        <w:rPr>
          <w:bCs/>
          <w:color w:val="231F20"/>
        </w:rPr>
        <w:t>Viaggiatori anno:</w:t>
        <w:tab/>
        <w:t>47.820.799*</w:t>
      </w:r>
    </w:p>
    <w:p>
      <w:pPr>
        <w:pStyle w:val="StandardWW"/>
        <w:tabs>
          <w:tab w:val="clear" w:pos="708"/>
          <w:tab w:val="left" w:pos="5111" w:leader="none"/>
        </w:tabs>
        <w:spacing w:lineRule="auto" w:line="240"/>
        <w:rPr/>
      </w:pPr>
      <w:r>
        <w:rPr>
          <w:bCs/>
          <w:color w:val="231F20"/>
        </w:rPr>
        <w:t>Viaggiatori/giorno:</w:t>
        <w:tab/>
        <w:t>131.013</w:t>
      </w:r>
    </w:p>
    <w:p>
      <w:pPr>
        <w:pStyle w:val="StandardWW"/>
        <w:tabs>
          <w:tab w:val="clear" w:pos="708"/>
          <w:tab w:val="left" w:pos="5111" w:leader="none"/>
        </w:tabs>
        <w:spacing w:lineRule="auto" w:line="240"/>
        <w:rPr/>
      </w:pPr>
      <w:r>
        <w:rPr>
          <w:bCs/>
          <w:color w:val="231F20"/>
        </w:rPr>
        <w:t>Vetture in servizio all’ora di punta:</w:t>
        <w:tab/>
        <w:t>188</w:t>
      </w:r>
    </w:p>
    <w:p>
      <w:pPr>
        <w:pStyle w:val="StandardWW"/>
        <w:tabs>
          <w:tab w:val="clear" w:pos="708"/>
          <w:tab w:val="left" w:pos="5089" w:leader="none"/>
        </w:tabs>
        <w:spacing w:lineRule="auto" w:line="240"/>
        <w:rPr/>
      </w:pPr>
      <w:r>
        <w:rPr>
          <w:bCs/>
          <w:color w:val="231F20"/>
        </w:rPr>
        <w:t>Vetture Km/anno:</w:t>
        <w:tab/>
        <w:t>12.379.650</w:t>
      </w:r>
    </w:p>
    <w:p>
      <w:pPr>
        <w:pStyle w:val="StandardWW"/>
        <w:tabs>
          <w:tab w:val="clear" w:pos="708"/>
          <w:tab w:val="left" w:pos="5089" w:leader="none"/>
        </w:tabs>
        <w:spacing w:lineRule="auto" w:line="240"/>
        <w:rPr/>
      </w:pPr>
      <w:r>
        <w:rPr>
          <w:bCs/>
          <w:color w:val="231F20"/>
        </w:rPr>
        <w:t>Giorni di operatività</w:t>
        <w:tab/>
        <w:t>365</w:t>
      </w:r>
    </w:p>
    <w:p>
      <w:pPr>
        <w:pStyle w:val="StandardWW"/>
        <w:tabs>
          <w:tab w:val="clear" w:pos="708"/>
          <w:tab w:val="left" w:pos="5089" w:leader="none"/>
        </w:tabs>
        <w:spacing w:lineRule="auto" w:line="240"/>
        <w:rPr/>
      </w:pPr>
      <w:r>
        <w:rPr>
          <w:bCs/>
          <w:color w:val="231F20"/>
        </w:rPr>
        <w:t>Fermate</w:t>
        <w:tab/>
        <w:t>974</w:t>
      </w:r>
    </w:p>
    <w:p>
      <w:pPr>
        <w:pStyle w:val="StandardWW"/>
        <w:tabs>
          <w:tab w:val="clear" w:pos="708"/>
          <w:tab w:val="left" w:pos="5089" w:leader="none"/>
        </w:tabs>
        <w:spacing w:lineRule="auto" w:line="240"/>
        <w:rPr/>
      </w:pPr>
      <w:r>
        <w:rPr>
          <w:bCs/>
          <w:color w:val="231F20"/>
        </w:rPr>
        <w:t>Fermate totali di pensilina</w:t>
        <w:tab/>
        <w:t>200</w:t>
      </w:r>
    </w:p>
    <w:p>
      <w:pPr>
        <w:pStyle w:val="StandardWW"/>
        <w:tabs>
          <w:tab w:val="clear" w:pos="708"/>
          <w:tab w:val="left" w:pos="5089" w:leader="none"/>
        </w:tabs>
        <w:spacing w:lineRule="auto" w:line="240"/>
        <w:rPr/>
      </w:pPr>
      <w:r>
        <w:rPr>
          <w:bCs/>
          <w:color w:val="231F20"/>
        </w:rPr>
        <w:t>Fermate totali di pensilina elettronica</w:t>
        <w:tab/>
        <w:t>279</w:t>
      </w:r>
    </w:p>
    <w:p>
      <w:pPr>
        <w:pStyle w:val="StandardWW"/>
        <w:spacing w:lineRule="auto" w:line="240"/>
        <w:rPr>
          <w:color w:val="231F20"/>
        </w:rPr>
      </w:pPr>
      <w:r>
        <w:rPr>
          <w:color w:val="231F20"/>
        </w:rPr>
      </w:r>
    </w:p>
    <w:p>
      <w:pPr>
        <w:pStyle w:val="StandardWW"/>
        <w:spacing w:lineRule="auto" w:line="240"/>
        <w:rPr/>
      </w:pPr>
      <w:r>
        <w:rPr>
          <w:b/>
          <w:i/>
          <w:iCs/>
        </w:rPr>
        <w:t>Situazione relativa all’inquinamento acustico</w:t>
      </w:r>
    </w:p>
    <w:p>
      <w:pPr>
        <w:pStyle w:val="StandardWW"/>
        <w:spacing w:lineRule="auto" w:line="240"/>
        <w:rPr/>
      </w:pPr>
      <w:r>
        <w:rPr/>
      </w:r>
    </w:p>
    <w:p>
      <w:pPr>
        <w:pStyle w:val="NormaleCorpo"/>
        <w:spacing w:lineRule="auto" w:line="360"/>
        <w:rPr>
          <w:rFonts w:ascii="Arial" w:hAnsi="Arial" w:cs="Arial"/>
          <w:sz w:val="20"/>
          <w:szCs w:val="20"/>
        </w:rPr>
      </w:pPr>
      <w:r>
        <w:rPr>
          <w:rFonts w:cs="Arial" w:ascii="Arial" w:hAnsi="Arial"/>
          <w:sz w:val="20"/>
          <w:szCs w:val="20"/>
        </w:rPr>
        <w:t>Secondo quanto riportato nella relazione del bilancio di sostenibilità del 2023 redatto dal CTM, l'azienda ha investito nella sostenibilità ambientale con l’obiettivo, entro il 2026, di avere l’80% della propria flotta ad alimentazione elettrica.  Nel triennio 2030-2033 è orevisto il raggiungimento di una flotta interamente elettrica.</w:t>
      </w:r>
    </w:p>
    <w:p>
      <w:pPr>
        <w:pStyle w:val="NormaleCorpo"/>
        <w:spacing w:lineRule="auto" w:line="360"/>
        <w:rPr>
          <w:rFonts w:ascii="Arial" w:hAnsi="Arial" w:cs="Arial"/>
          <w:sz w:val="20"/>
          <w:szCs w:val="20"/>
        </w:rPr>
      </w:pPr>
      <w:r>
        <w:rPr>
          <w:rFonts w:cs="Arial" w:ascii="Arial" w:hAnsi="Arial"/>
          <w:sz w:val="20"/>
          <w:szCs w:val="20"/>
        </w:rPr>
        <w:t>I nuovi bus elettrici sono caratterizzati da emissioni sonore nettamente inferiori rispetto agli autobus a gasolio attualmente in servizio.</w:t>
      </w:r>
    </w:p>
    <w:p>
      <w:pPr>
        <w:pStyle w:val="NormaleCorpo"/>
        <w:spacing w:lineRule="auto" w:line="360"/>
        <w:rPr>
          <w:rFonts w:ascii="Arial" w:hAnsi="Arial" w:cs="Arial"/>
          <w:sz w:val="20"/>
          <w:szCs w:val="20"/>
        </w:rPr>
      </w:pPr>
      <w:r>
        <w:rPr>
          <w:rFonts w:cs="Arial" w:ascii="Arial" w:hAnsi="Arial"/>
          <w:sz w:val="20"/>
          <w:szCs w:val="20"/>
        </w:rPr>
        <w:t>Di seguito è riportata una tabella di equiparazione</w:t>
      </w:r>
    </w:p>
    <w:p>
      <w:pPr>
        <w:pStyle w:val="NormaleCorpo"/>
        <w:spacing w:lineRule="auto" w:line="360"/>
        <w:rPr>
          <w:rFonts w:ascii="Arial" w:hAnsi="Arial" w:cs="Arial"/>
          <w:sz w:val="20"/>
          <w:szCs w:val="20"/>
        </w:rPr>
      </w:pPr>
      <w:r>
        <w:rPr>
          <w:rFonts w:cs="Arial" w:ascii="Arial" w:hAnsi="Arial"/>
          <w:sz w:val="20"/>
          <w:szCs w:val="20"/>
        </w:rPr>
      </w:r>
    </w:p>
    <w:p>
      <w:pPr>
        <w:pStyle w:val="NormaleCorpo"/>
        <w:spacing w:lineRule="auto" w:line="360"/>
        <w:rPr>
          <w:rFonts w:ascii="Arial" w:hAnsi="Arial" w:cs="Arial"/>
          <w:sz w:val="20"/>
          <w:szCs w:val="20"/>
        </w:rPr>
      </w:pPr>
      <w:r>
        <w:rPr/>
        <w:drawing>
          <wp:inline distT="0" distB="0" distL="0" distR="0">
            <wp:extent cx="6536055" cy="1353820"/>
            <wp:effectExtent l="0" t="0" r="0" b="0"/>
            <wp:docPr id="4"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24" descr=""/>
                    <pic:cNvPicPr>
                      <a:picLocks noChangeAspect="1" noChangeArrowheads="1"/>
                    </pic:cNvPicPr>
                  </pic:nvPicPr>
                  <pic:blipFill>
                    <a:blip r:embed="rId8"/>
                    <a:stretch>
                      <a:fillRect/>
                    </a:stretch>
                  </pic:blipFill>
                  <pic:spPr bwMode="auto">
                    <a:xfrm>
                      <a:off x="0" y="0"/>
                      <a:ext cx="6536055" cy="1353820"/>
                    </a:xfrm>
                    <a:prstGeom prst="rect">
                      <a:avLst/>
                    </a:prstGeom>
                  </pic:spPr>
                </pic:pic>
              </a:graphicData>
            </a:graphic>
          </wp:inline>
        </w:drawing>
      </w:r>
    </w:p>
    <w:p>
      <w:pPr>
        <w:pStyle w:val="NormaleCorpo"/>
        <w:spacing w:lineRule="auto" w:line="360"/>
        <w:rPr>
          <w:rFonts w:ascii="Arial" w:hAnsi="Arial" w:cs="Arial"/>
          <w:sz w:val="20"/>
          <w:szCs w:val="20"/>
        </w:rPr>
      </w:pPr>
      <w:r>
        <w:rPr>
          <w:rFonts w:cs="Arial" w:ascii="Arial" w:hAnsi="Arial"/>
          <w:sz w:val="20"/>
          <w:szCs w:val="20"/>
        </w:rPr>
      </w:r>
    </w:p>
    <w:p>
      <w:pPr>
        <w:pStyle w:val="NormaleCorpo"/>
        <w:spacing w:lineRule="auto" w:line="360"/>
        <w:rPr>
          <w:rFonts w:ascii="Arial" w:hAnsi="Arial" w:cs="Arial"/>
          <w:sz w:val="20"/>
          <w:szCs w:val="20"/>
        </w:rPr>
      </w:pPr>
      <w:r>
        <w:rPr/>
        <w:drawing>
          <wp:inline distT="0" distB="0" distL="0" distR="0">
            <wp:extent cx="6341110" cy="1935480"/>
            <wp:effectExtent l="0" t="0" r="0" b="0"/>
            <wp:docPr id="5" name="Immagine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25" descr=""/>
                    <pic:cNvPicPr>
                      <a:picLocks noChangeAspect="1" noChangeArrowheads="1"/>
                    </pic:cNvPicPr>
                  </pic:nvPicPr>
                  <pic:blipFill>
                    <a:blip r:embed="rId9"/>
                    <a:stretch>
                      <a:fillRect/>
                    </a:stretch>
                  </pic:blipFill>
                  <pic:spPr bwMode="auto">
                    <a:xfrm>
                      <a:off x="0" y="0"/>
                      <a:ext cx="6341110" cy="1935480"/>
                    </a:xfrm>
                    <a:prstGeom prst="rect">
                      <a:avLst/>
                    </a:prstGeom>
                  </pic:spPr>
                </pic:pic>
              </a:graphicData>
            </a:graphic>
          </wp:inline>
        </w:drawing>
      </w:r>
    </w:p>
    <w:p>
      <w:pPr>
        <w:pStyle w:val="NormaleCorpo"/>
        <w:spacing w:lineRule="auto" w:line="360"/>
        <w:rPr>
          <w:rFonts w:ascii="Arial" w:hAnsi="Arial" w:cs="Arial"/>
          <w:sz w:val="20"/>
          <w:szCs w:val="20"/>
        </w:rPr>
      </w:pPr>
      <w:r>
        <w:rPr>
          <w:rFonts w:cs="Arial" w:ascii="Arial" w:hAnsi="Arial"/>
          <w:sz w:val="20"/>
          <w:szCs w:val="20"/>
        </w:rPr>
      </w:r>
    </w:p>
    <w:p>
      <w:pPr>
        <w:pStyle w:val="NormaleCorpo"/>
        <w:spacing w:lineRule="auto" w:line="360"/>
        <w:rPr>
          <w:rFonts w:ascii="Arial" w:hAnsi="Arial" w:cs="Arial"/>
          <w:sz w:val="20"/>
          <w:szCs w:val="20"/>
        </w:rPr>
      </w:pPr>
      <w:r>
        <w:rPr>
          <w:rFonts w:cs="Arial" w:ascii="Arial" w:hAnsi="Arial"/>
          <w:sz w:val="20"/>
          <w:szCs w:val="20"/>
        </w:rPr>
        <w:t>Il piano d rinnovamento della flotta pernil 2024/2025 permetterà entro il dicembre 2025 di disporre di 175 nuovi bus elettrici e 3 nuovi bus a idrogeno, con una conseguente significativa riduzione delle emissioni sonore legate all’erogazione del servizio.</w:t>
      </w:r>
    </w:p>
    <w:p>
      <w:pPr>
        <w:pStyle w:val="NormaleCorpo"/>
        <w:spacing w:lineRule="auto" w:line="360"/>
        <w:rPr/>
      </w:pPr>
      <w:r>
        <w:rPr/>
        <w:drawing>
          <wp:inline distT="0" distB="0" distL="0" distR="0">
            <wp:extent cx="6147435" cy="3182620"/>
            <wp:effectExtent l="0" t="0" r="0" b="0"/>
            <wp:docPr id="6" name="Immagin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26" descr=""/>
                    <pic:cNvPicPr>
                      <a:picLocks noChangeAspect="1" noChangeArrowheads="1"/>
                    </pic:cNvPicPr>
                  </pic:nvPicPr>
                  <pic:blipFill>
                    <a:blip r:embed="rId10"/>
                    <a:stretch>
                      <a:fillRect/>
                    </a:stretch>
                  </pic:blipFill>
                  <pic:spPr bwMode="auto">
                    <a:xfrm>
                      <a:off x="0" y="0"/>
                      <a:ext cx="6147435" cy="3182620"/>
                    </a:xfrm>
                    <a:prstGeom prst="rect">
                      <a:avLst/>
                    </a:prstGeom>
                  </pic:spPr>
                </pic:pic>
              </a:graphicData>
            </a:graphic>
          </wp:inline>
        </w:drawing>
      </w:r>
    </w:p>
    <w:p>
      <w:pPr>
        <w:pStyle w:val="NormaleCorpo"/>
        <w:spacing w:lineRule="auto" w:line="360"/>
        <w:rPr/>
      </w:pPr>
      <w:r>
        <w:rPr/>
      </w:r>
    </w:p>
    <w:p>
      <w:pPr>
        <w:pStyle w:val="StandardWW"/>
        <w:spacing w:lineRule="auto" w:line="240"/>
        <w:rPr>
          <w:b/>
          <w:i/>
          <w:i/>
          <w:iCs/>
        </w:rPr>
      </w:pPr>
      <w:r>
        <w:rPr>
          <w:b/>
          <w:i/>
          <w:iCs/>
        </w:rPr>
      </w:r>
    </w:p>
    <w:p>
      <w:pPr>
        <w:pStyle w:val="Heading4"/>
        <w:numPr>
          <w:ilvl w:val="3"/>
          <w:numId w:val="228"/>
        </w:numPr>
        <w:rPr/>
      </w:pPr>
      <w:r>
        <w:rPr/>
        <w:t>Gestione delle problematiche acustiche</w:t>
      </w:r>
    </w:p>
    <w:p>
      <w:pPr>
        <w:pStyle w:val="StandardWW"/>
        <w:spacing w:lineRule="auto" w:line="240"/>
        <w:rPr/>
      </w:pPr>
      <w:r>
        <w:rPr/>
      </w:r>
    </w:p>
    <w:p>
      <w:pPr>
        <w:pStyle w:val="NormaleCorpo"/>
        <w:spacing w:lineRule="auto" w:line="360" w:before="280" w:after="120"/>
        <w:rPr/>
      </w:pPr>
      <w:r>
        <w:rPr>
          <w:rFonts w:cs="Arial" w:ascii="Arial" w:hAnsi="Arial"/>
          <w:sz w:val="20"/>
          <w:szCs w:val="20"/>
        </w:rPr>
        <w:t>CTM non ha predisposto, ad oggi, un'analisi relativa all’inquinamento acustico prodotto nell’ambito della propria attività di gestore del servizio di trasporto pubblico ai sensi dell’art.2, comma 1 del D.M. 29/11/2000.</w:t>
      </w:r>
    </w:p>
    <w:p>
      <w:pPr>
        <w:pStyle w:val="NormaleCorpo"/>
        <w:spacing w:lineRule="auto" w:line="360" w:before="280" w:after="120"/>
        <w:rPr/>
      </w:pPr>
      <w:r>
        <w:rPr>
          <w:rFonts w:cs="Arial" w:ascii="Arial" w:hAnsi="Arial"/>
          <w:sz w:val="20"/>
          <w:szCs w:val="20"/>
        </w:rPr>
        <w:t>Attualmente l</w:t>
      </w:r>
      <w:r>
        <w:rPr>
          <w:rFonts w:cs="Arial" w:ascii="Arial" w:hAnsi="Arial"/>
          <w:color w:val="231F20"/>
          <w:sz w:val="20"/>
          <w:szCs w:val="20"/>
        </w:rPr>
        <w:t>’azienda collabora con altri enti per la gestione e razionalizzazione del traffico veicolare, anche privato. Nello specifico gestisce la sala di controllo della mobilità del comune di Cagliari, che coordina tutte le periferiche di controllo del traffico veicolare: impianti semaforici, pannelli di messaggio, telecamere e le spire di rilevamento traffico.</w:t>
      </w:r>
    </w:p>
    <w:p>
      <w:pPr>
        <w:pStyle w:val="StandardWW"/>
        <w:spacing w:lineRule="auto" w:line="240"/>
        <w:rPr>
          <w:sz w:val="22"/>
          <w:szCs w:val="22"/>
        </w:rPr>
      </w:pPr>
      <w:r>
        <w:rPr>
          <w:sz w:val="22"/>
          <w:szCs w:val="22"/>
        </w:rPr>
      </w:r>
    </w:p>
    <w:p>
      <w:pPr>
        <w:pStyle w:val="NormaleCorpo"/>
        <w:spacing w:lineRule="auto" w:line="360" w:before="280" w:after="120"/>
        <w:rPr/>
      </w:pPr>
      <w:r>
        <w:rPr>
          <w:rFonts w:cs="Arial" w:ascii="Arial" w:hAnsi="Arial"/>
          <w:sz w:val="20"/>
          <w:szCs w:val="20"/>
        </w:rPr>
        <w:t xml:space="preserve">Nella </w:t>
      </w:r>
      <w:r>
        <w:rPr>
          <w:rFonts w:cs="Arial" w:ascii="Arial" w:hAnsi="Arial"/>
          <w:i/>
          <w:iCs/>
          <w:sz w:val="20"/>
          <w:szCs w:val="20"/>
        </w:rPr>
        <w:t>mission</w:t>
      </w:r>
      <w:r>
        <w:rPr>
          <w:rFonts w:cs="Arial" w:ascii="Arial" w:hAnsi="Arial"/>
          <w:sz w:val="20"/>
          <w:szCs w:val="20"/>
        </w:rPr>
        <w:t xml:space="preserve"> dell’azienda sussiste, ben più importante, l’obiettivo di affiancamento e sinergia con gli enti locali (Comuni, Città Metropolitana e Regione competenti territorialmente e regolamentatori) in termini propositivi e decisionali per incidere sulla cosiddetta “mobilità sostenibile”: la migrazione dall’uso dell’auto/motociclo privato a quello del trasporto pubblico, unico e fondamentale passaggio per una significativa riduzione del rumore stradale (ovviamente anche delle emissioni). A tal fine si è proposta per governare la società consortile (attualmente di 7 comuni) ITS Area Vasta S.c.ar.l. che gestisce e dovrà creare e gestire tutti i sistemi di controllo, avvisi, monitoraggio del traffico, radiocomunicazione, trasmissione dati (fibra ottica) e sicurezza (telecamere).</w:t>
      </w:r>
    </w:p>
    <w:p>
      <w:pPr>
        <w:pStyle w:val="NormaleCorpo"/>
        <w:spacing w:lineRule="auto" w:line="360" w:before="280" w:after="120"/>
        <w:rPr/>
      </w:pPr>
      <w:r>
        <w:rPr>
          <w:rFonts w:cs="Arial" w:ascii="Arial" w:hAnsi="Arial"/>
          <w:sz w:val="20"/>
          <w:szCs w:val="20"/>
        </w:rPr>
        <w:t>Con l’approvazione dei piani di classificazione acustica comunali dei Comuni di Cagliari e Assemini e la conseguente individuazione dei limiti applicabili alle strade di tipo E ed F ai sensi della Tab.2 del D.P.R. 142/2004, il CTM dovrà dare seguito al disposto di cui all’art.2, comma 1 del D.M. 29/11/2000.</w:t>
      </w:r>
    </w:p>
    <w:p>
      <w:pPr>
        <w:pStyle w:val="StandardWW"/>
        <w:spacing w:lineRule="auto" w:line="240"/>
        <w:rPr>
          <w:i/>
          <w:i/>
          <w:iCs/>
        </w:rPr>
      </w:pPr>
      <w:r>
        <w:rPr>
          <w:i/>
          <w:iCs/>
        </w:rPr>
      </w:r>
    </w:p>
    <w:p>
      <w:pPr>
        <w:pStyle w:val="Heading3"/>
        <w:numPr>
          <w:ilvl w:val="2"/>
          <w:numId w:val="229"/>
        </w:numPr>
        <w:rPr/>
      </w:pPr>
      <w:bookmarkStart w:id="50" w:name="__RefHeading__19_468148522"/>
      <w:bookmarkStart w:id="51" w:name="_Toc178778188"/>
      <w:bookmarkEnd w:id="50"/>
      <w:r>
        <w:rPr>
          <w:rFonts w:cs="Arial" w:ascii="Arial" w:hAnsi="Arial"/>
          <w:b/>
          <w:sz w:val="22"/>
          <w:szCs w:val="22"/>
        </w:rPr>
        <w:t>Trasporto Pubblico Locale - A.R.S.T. S.p.A.</w:t>
      </w:r>
      <w:bookmarkEnd w:id="51"/>
    </w:p>
    <w:p>
      <w:pPr>
        <w:pStyle w:val="NormaleCorpo"/>
        <w:rPr/>
      </w:pPr>
      <w:r>
        <w:rPr/>
      </w:r>
    </w:p>
    <w:p>
      <w:pPr>
        <w:pStyle w:val="NormaleCorpo"/>
        <w:rPr/>
      </w:pPr>
      <w:r>
        <w:rPr/>
        <w:t>(Fonte:</w:t>
      </w:r>
      <w:r>
        <w:rPr>
          <w:i/>
          <w:iCs/>
        </w:rPr>
        <w:t xml:space="preserve"> web all’URL http://arst.sardegna.it/index.html, carta mobilità ed.2024, annual report 2024</w:t>
      </w:r>
      <w:r>
        <w:rPr/>
        <w:t>)</w:t>
      </w:r>
    </w:p>
    <w:p>
      <w:pPr>
        <w:pStyle w:val="NormaleCorpo"/>
        <w:spacing w:lineRule="auto" w:line="360" w:before="280" w:after="120"/>
        <w:rPr/>
      </w:pPr>
      <w:r>
        <w:rPr>
          <w:rFonts w:cs="Arial" w:ascii="Arial" w:hAnsi="Arial"/>
          <w:sz w:val="20"/>
          <w:szCs w:val="20"/>
        </w:rPr>
        <w:t>ARST SpA con Direzione Centrale a Cagliari, Sedi operative in tutti i principali centri della Sardegna e oltre 2130 dipendenti, è la principale azienda di trasporto pubblico in Sardegna controllata al 100% dall’Amministrazione Regionale ed uno dei principali operatori TPL a livello nazionale. ARST esercita la gran parte di collegamenti extraurbani della Sardegna, il trasporto urbano su gomma nei comuni di Oristano, Macomer, Alghero, Carbonia e Iglesias, il trasporto (TPL e turistico) su rete ferroviaria a scartamento ridotto e i servizi metrotranviari di Cagliari e Sassari.</w:t>
      </w:r>
    </w:p>
    <w:p>
      <w:pPr>
        <w:pStyle w:val="NormaleCorpo"/>
        <w:spacing w:lineRule="auto" w:line="360" w:before="280" w:after="120"/>
        <w:rPr/>
      </w:pPr>
      <w:r>
        <w:rPr>
          <w:rFonts w:cs="Arial" w:ascii="Arial" w:hAnsi="Arial"/>
          <w:sz w:val="20"/>
          <w:szCs w:val="20"/>
        </w:rPr>
        <w:t>Il 25 ottobre 2010 si è concluso il percorso che ha portato alla trasformazione della vecchia Azienda Regionale Sarda Trasporti in ARST S.p.A. con l'accorpamento delle Ferrovie Meridionali Sarde e di ARST- gestione FdS s.r.l..</w:t>
      </w:r>
    </w:p>
    <w:p>
      <w:pPr>
        <w:pStyle w:val="StandardWW"/>
        <w:spacing w:lineRule="auto" w:line="360" w:before="280" w:after="120"/>
        <w:rPr/>
      </w:pPr>
      <w:r>
        <w:rPr/>
      </w:r>
    </w:p>
    <w:p>
      <w:pPr>
        <w:pStyle w:val="StandardWW"/>
        <w:spacing w:lineRule="auto" w:line="240"/>
        <w:rPr/>
      </w:pPr>
      <w:r>
        <w:rPr/>
        <w:drawing>
          <wp:inline distT="0" distB="0" distL="0" distR="0">
            <wp:extent cx="6120130" cy="3314065"/>
            <wp:effectExtent l="0" t="0" r="0" b="0"/>
            <wp:docPr id="7" name="Immagine9" descr="Immagine che contiene testo, schermata, software, Pagina Web&#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9" descr="Immagine che contiene testo, schermata, software, Pagina Web&#10;&#10;Descrizione generata automaticamente"/>
                    <pic:cNvPicPr>
                      <a:picLocks noChangeAspect="1" noChangeArrowheads="1"/>
                    </pic:cNvPicPr>
                  </pic:nvPicPr>
                  <pic:blipFill>
                    <a:blip r:embed="rId11"/>
                    <a:stretch>
                      <a:fillRect/>
                    </a:stretch>
                  </pic:blipFill>
                  <pic:spPr bwMode="auto">
                    <a:xfrm>
                      <a:off x="0" y="0"/>
                      <a:ext cx="6120130" cy="3314065"/>
                    </a:xfrm>
                    <a:prstGeom prst="rect">
                      <a:avLst/>
                    </a:prstGeom>
                  </pic:spPr>
                </pic:pic>
              </a:graphicData>
            </a:graphic>
          </wp:inline>
        </w:drawing>
      </w:r>
    </w:p>
    <w:p>
      <w:pPr>
        <w:pStyle w:val="Caption11"/>
        <w:rPr/>
      </w:pPr>
      <w:bookmarkStart w:id="52" w:name="_Toc171964354"/>
      <w:bookmarkStart w:id="53" w:name="_Toc171894433"/>
      <w:r>
        <w:rPr/>
        <w:t>Figura 9.5</w:t>
      </w:r>
      <w:bookmarkEnd w:id="53"/>
      <w:r>
        <w:rPr/>
        <w:t xml:space="preserve"> - ARST</w:t>
      </w:r>
      <w:bookmarkEnd w:id="52"/>
    </w:p>
    <w:p>
      <w:pPr>
        <w:pStyle w:val="NormaleCorpo"/>
        <w:spacing w:lineRule="auto" w:line="360" w:before="280" w:after="120"/>
        <w:rPr>
          <w:rFonts w:ascii="Arial" w:hAnsi="Arial" w:cs="Arial"/>
          <w:sz w:val="20"/>
          <w:szCs w:val="20"/>
        </w:rPr>
      </w:pPr>
      <w:r>
        <w:rPr>
          <w:rFonts w:cs="Arial" w:ascii="Arial" w:hAnsi="Arial"/>
          <w:sz w:val="20"/>
          <w:szCs w:val="20"/>
        </w:rPr>
      </w:r>
    </w:p>
    <w:p>
      <w:pPr>
        <w:pStyle w:val="NormaleCorpo"/>
        <w:spacing w:lineRule="auto" w:line="360" w:before="280" w:after="120"/>
        <w:rPr/>
      </w:pPr>
      <w:r>
        <w:rPr>
          <w:rFonts w:cs="Arial" w:ascii="Arial" w:hAnsi="Arial"/>
          <w:sz w:val="20"/>
          <w:szCs w:val="20"/>
        </w:rPr>
        <w:t>La funzione istituzionale dell'azienda è quella relativa all'impianto ed alla gestione in tutta la Regione Sardegna dei servizi automobilistici e ferroviari di linea per il trasporto di persone e bagagli.</w:t>
      </w:r>
    </w:p>
    <w:p>
      <w:pPr>
        <w:pStyle w:val="NormaleCorpo"/>
        <w:spacing w:lineRule="auto" w:line="360" w:before="280" w:after="120"/>
        <w:rPr/>
      </w:pPr>
      <w:r>
        <w:rPr>
          <w:rFonts w:cs="Arial" w:ascii="Arial" w:hAnsi="Arial"/>
          <w:sz w:val="20"/>
          <w:szCs w:val="20"/>
        </w:rPr>
        <w:t>L'azienda svolge servizi di linea extraurbani in tutto il territorio regionale ed anche sub-urbani negli hinterland di Cagliari, Sassari, Nuoro, Oristano, Iglesias, Guspini, Olbia, Lanusei.</w:t>
      </w:r>
    </w:p>
    <w:p>
      <w:pPr>
        <w:pStyle w:val="NormaleCorpo"/>
        <w:spacing w:lineRule="auto" w:line="360" w:before="280" w:after="120"/>
        <w:rPr/>
      </w:pPr>
      <w:r>
        <w:rPr>
          <w:rFonts w:cs="Arial" w:ascii="Arial" w:hAnsi="Arial"/>
          <w:sz w:val="20"/>
          <w:szCs w:val="20"/>
        </w:rPr>
        <w:t>Per quanto riguarda in particolare l'Agglomerato di Cagliari, l'ARST gestisce il TPL su gomma con i bus in partenza dalla stazione in piazza Matteotti di Cagliari verso i centri abitati dell'hinterland oltre alla linea metropolitana di superficie Cagliari-Monserrato-Policlinico-Settimo S.P.</w:t>
      </w:r>
    </w:p>
    <w:p>
      <w:pPr>
        <w:pStyle w:val="NormaleCorpo"/>
        <w:spacing w:lineRule="auto" w:line="360" w:before="280" w:after="120"/>
        <w:rPr/>
      </w:pPr>
      <w:r>
        <w:rPr>
          <w:rFonts w:cs="Arial" w:ascii="Arial" w:hAnsi="Arial"/>
          <w:sz w:val="20"/>
          <w:szCs w:val="20"/>
        </w:rPr>
        <w:t>L'ARST si distribuisce in 8 sedi territoriali dislocate nei seguenti Comuni: Cagliari, Sassari, Nuoro, Oristano, Iglesias Guspini, Olbia, Lanusei.</w:t>
      </w:r>
    </w:p>
    <w:p>
      <w:pPr>
        <w:pStyle w:val="NormaleCorpo"/>
        <w:spacing w:lineRule="auto" w:line="360" w:before="280" w:after="120"/>
        <w:rPr/>
      </w:pPr>
      <w:r>
        <w:rPr>
          <w:rFonts w:cs="Arial" w:ascii="Arial" w:hAnsi="Arial"/>
          <w:sz w:val="20"/>
          <w:szCs w:val="20"/>
        </w:rPr>
        <w:t>L’azienda è di proprietà della Regione Sardegna.</w:t>
      </w:r>
    </w:p>
    <w:p>
      <w:pPr>
        <w:pStyle w:val="NormaleCorpo"/>
        <w:numPr>
          <w:ilvl w:val="0"/>
          <w:numId w:val="9"/>
        </w:numPr>
        <w:spacing w:lineRule="auto" w:line="360" w:before="280" w:after="120"/>
        <w:rPr/>
      </w:pPr>
      <w:r>
        <w:rPr>
          <w:rFonts w:cs="Arial" w:ascii="Arial" w:hAnsi="Arial"/>
          <w:sz w:val="20"/>
          <w:szCs w:val="20"/>
        </w:rPr>
        <w:t>Dipendenti:</w:t>
        <w:tab/>
        <w:tab/>
        <w:tab/>
        <w:tab/>
        <w:tab/>
        <w:tab/>
        <w:tab/>
        <w:t>2.150</w:t>
      </w:r>
    </w:p>
    <w:p>
      <w:pPr>
        <w:pStyle w:val="NormaleCorpo"/>
        <w:numPr>
          <w:ilvl w:val="0"/>
          <w:numId w:val="230"/>
        </w:numPr>
        <w:spacing w:lineRule="auto" w:line="360" w:before="0" w:after="120"/>
        <w:rPr/>
      </w:pPr>
      <w:r>
        <w:rPr>
          <w:rFonts w:cs="Arial" w:ascii="Arial" w:hAnsi="Arial"/>
          <w:sz w:val="20"/>
          <w:szCs w:val="20"/>
        </w:rPr>
        <w:t>Autobus (età media 11-12 anni):</w:t>
        <w:tab/>
        <w:tab/>
        <w:tab/>
        <w:tab/>
        <w:t xml:space="preserve">813 di cui 361 tutti motore a scoppio </w:t>
        <w:tab/>
        <w:tab/>
        <w:tab/>
        <w:tab/>
        <w:tab/>
        <w:tab/>
        <w:tab/>
        <w:tab/>
        <w:t>modello Euro5 e Euro5 EVV</w:t>
      </w:r>
    </w:p>
    <w:p>
      <w:pPr>
        <w:pStyle w:val="NormaleCorpo"/>
        <w:numPr>
          <w:ilvl w:val="0"/>
          <w:numId w:val="231"/>
        </w:numPr>
        <w:spacing w:lineRule="auto" w:line="360" w:before="0" w:after="120"/>
        <w:rPr/>
      </w:pPr>
      <w:r>
        <w:rPr>
          <w:rFonts w:cs="Arial" w:ascii="Arial" w:hAnsi="Arial"/>
          <w:sz w:val="20"/>
          <w:szCs w:val="20"/>
        </w:rPr>
        <w:t>Autolinee:</w:t>
        <w:tab/>
        <w:tab/>
        <w:tab/>
        <w:tab/>
        <w:tab/>
        <w:tab/>
        <w:tab/>
        <w:tab/>
        <w:t>300</w:t>
      </w:r>
    </w:p>
    <w:p>
      <w:pPr>
        <w:pStyle w:val="NormaleCorpo"/>
        <w:numPr>
          <w:ilvl w:val="0"/>
          <w:numId w:val="232"/>
        </w:numPr>
        <w:spacing w:lineRule="auto" w:line="360" w:before="0" w:after="120"/>
        <w:rPr/>
      </w:pPr>
      <w:r>
        <w:rPr>
          <w:rFonts w:cs="Arial" w:ascii="Arial" w:hAnsi="Arial"/>
          <w:sz w:val="20"/>
          <w:szCs w:val="20"/>
        </w:rPr>
        <w:t>Lunghezza della rete:</w:t>
        <w:tab/>
        <w:tab/>
        <w:tab/>
        <w:tab/>
        <w:tab/>
        <w:tab/>
        <w:t>15.0000 km</w:t>
      </w:r>
    </w:p>
    <w:p>
      <w:pPr>
        <w:pStyle w:val="NormaleCorpo"/>
        <w:numPr>
          <w:ilvl w:val="0"/>
          <w:numId w:val="233"/>
        </w:numPr>
        <w:spacing w:lineRule="auto" w:line="360" w:before="0" w:after="120"/>
        <w:rPr/>
      </w:pPr>
      <w:r>
        <w:rPr>
          <w:rFonts w:cs="Arial" w:ascii="Arial" w:hAnsi="Arial"/>
          <w:sz w:val="20"/>
          <w:szCs w:val="20"/>
        </w:rPr>
        <w:t>Percorrenza annuale degli autobus:</w:t>
        <w:tab/>
        <w:tab/>
        <w:tab/>
        <w:tab/>
        <w:t>35.500.000 km</w:t>
      </w:r>
    </w:p>
    <w:p>
      <w:pPr>
        <w:pStyle w:val="NormaleCorpo"/>
        <w:numPr>
          <w:ilvl w:val="0"/>
          <w:numId w:val="234"/>
        </w:numPr>
        <w:spacing w:lineRule="auto" w:line="360" w:before="0" w:after="120"/>
        <w:rPr/>
      </w:pPr>
      <w:r>
        <w:rPr>
          <w:rFonts w:cs="Arial" w:ascii="Arial" w:hAnsi="Arial"/>
          <w:sz w:val="20"/>
          <w:szCs w:val="20"/>
        </w:rPr>
        <w:t>Passeggeri annui:</w:t>
        <w:tab/>
        <w:tab/>
        <w:tab/>
        <w:tab/>
        <w:tab/>
        <w:tab/>
        <w:t>22.337.000</w:t>
      </w:r>
    </w:p>
    <w:p>
      <w:pPr>
        <w:pStyle w:val="NormaleCorpo"/>
        <w:numPr>
          <w:ilvl w:val="0"/>
          <w:numId w:val="235"/>
        </w:numPr>
        <w:spacing w:lineRule="auto" w:line="360" w:before="0" w:after="120"/>
        <w:rPr/>
      </w:pPr>
      <w:r>
        <w:rPr>
          <w:rFonts w:cs="Arial" w:ascii="Arial" w:hAnsi="Arial"/>
          <w:sz w:val="20"/>
          <w:szCs w:val="20"/>
        </w:rPr>
        <w:t>Comuni serviti nell'isola:</w:t>
        <w:tab/>
        <w:tab/>
        <w:tab/>
        <w:tab/>
        <w:tab/>
        <w:t>369</w:t>
      </w:r>
    </w:p>
    <w:p>
      <w:pPr>
        <w:pStyle w:val="NormaleCorpo"/>
        <w:numPr>
          <w:ilvl w:val="0"/>
          <w:numId w:val="236"/>
        </w:numPr>
        <w:spacing w:lineRule="auto" w:line="360" w:before="0" w:after="120"/>
        <w:rPr/>
      </w:pPr>
      <w:r>
        <w:rPr>
          <w:rFonts w:cs="Arial" w:ascii="Arial" w:hAnsi="Arial"/>
          <w:sz w:val="20"/>
          <w:szCs w:val="20"/>
        </w:rPr>
        <w:t>Rivendite di biglietti:</w:t>
        <w:tab/>
        <w:tab/>
        <w:tab/>
        <w:tab/>
        <w:tab/>
        <w:tab/>
        <w:t>800</w:t>
      </w:r>
    </w:p>
    <w:p>
      <w:pPr>
        <w:pStyle w:val="NormaleCorpo"/>
        <w:numPr>
          <w:ilvl w:val="0"/>
          <w:numId w:val="237"/>
        </w:numPr>
        <w:spacing w:lineRule="auto" w:line="360" w:before="0" w:after="120"/>
        <w:rPr/>
      </w:pPr>
      <w:r>
        <w:rPr>
          <w:rFonts w:cs="Arial" w:ascii="Arial" w:hAnsi="Arial"/>
          <w:sz w:val="20"/>
          <w:szCs w:val="20"/>
        </w:rPr>
        <w:t>N. metrotram Agglomerato di CA:</w:t>
        <w:tab/>
        <w:tab/>
        <w:tab/>
        <w:tab/>
        <w:t>9+3 tutti a trazione elettrica</w:t>
      </w:r>
    </w:p>
    <w:p>
      <w:pPr>
        <w:pStyle w:val="StandardWW"/>
        <w:spacing w:lineRule="auto" w:line="240"/>
        <w:rPr/>
      </w:pPr>
      <w:r>
        <w:rPr/>
      </w:r>
    </w:p>
    <w:p>
      <w:pPr>
        <w:pStyle w:val="StandardWW"/>
        <w:spacing w:lineRule="auto" w:line="240"/>
        <w:rPr/>
      </w:pPr>
      <w:r>
        <w:rPr/>
        <w:drawing>
          <wp:inline distT="0" distB="0" distL="0" distR="0">
            <wp:extent cx="6120130" cy="2868930"/>
            <wp:effectExtent l="0" t="0" r="0" b="0"/>
            <wp:docPr id="8" name="Immagine10"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10" descr="Immagine che contiene testo, schermata, diagramma, linea&#10;&#10;Descrizione generata automaticamente"/>
                    <pic:cNvPicPr>
                      <a:picLocks noChangeAspect="1" noChangeArrowheads="1"/>
                    </pic:cNvPicPr>
                  </pic:nvPicPr>
                  <pic:blipFill>
                    <a:blip r:embed="rId12"/>
                    <a:stretch>
                      <a:fillRect/>
                    </a:stretch>
                  </pic:blipFill>
                  <pic:spPr bwMode="auto">
                    <a:xfrm>
                      <a:off x="0" y="0"/>
                      <a:ext cx="6120130" cy="2868930"/>
                    </a:xfrm>
                    <a:prstGeom prst="rect">
                      <a:avLst/>
                    </a:prstGeom>
                  </pic:spPr>
                </pic:pic>
              </a:graphicData>
            </a:graphic>
          </wp:inline>
        </w:drawing>
      </w:r>
    </w:p>
    <w:p>
      <w:pPr>
        <w:pStyle w:val="NormaleCorpo"/>
        <w:rPr/>
      </w:pPr>
      <w:r>
        <w:rPr/>
        <w:t>Passeggeri trasportati</w:t>
      </w:r>
    </w:p>
    <w:p>
      <w:pPr>
        <w:pStyle w:val="NormaleCorpo"/>
        <w:rPr/>
      </w:pPr>
      <w:r>
        <w:rPr/>
        <w:t>NUMERI</w:t>
      </w:r>
    </w:p>
    <w:p>
      <w:pPr>
        <w:pStyle w:val="StandardWW"/>
        <w:numPr>
          <w:ilvl w:val="0"/>
          <w:numId w:val="10"/>
        </w:numPr>
        <w:tabs>
          <w:tab w:val="clear" w:pos="708"/>
          <w:tab w:val="left" w:pos="477" w:leader="none"/>
        </w:tabs>
        <w:rPr/>
      </w:pPr>
      <w:r>
        <w:rPr/>
        <w:t>62.000 per giorno</w:t>
      </w:r>
    </w:p>
    <w:p>
      <w:pPr>
        <w:pStyle w:val="StandardWW"/>
        <w:numPr>
          <w:ilvl w:val="0"/>
          <w:numId w:val="238"/>
        </w:numPr>
        <w:tabs>
          <w:tab w:val="clear" w:pos="708"/>
          <w:tab w:val="left" w:pos="477" w:leader="none"/>
        </w:tabs>
        <w:rPr/>
      </w:pPr>
      <w:r>
        <w:rPr/>
        <w:t>21.500.000 per anno</w:t>
      </w:r>
    </w:p>
    <w:p>
      <w:pPr>
        <w:pStyle w:val="StandardWW"/>
        <w:tabs>
          <w:tab w:val="clear" w:pos="708"/>
          <w:tab w:val="left" w:pos="954" w:leader="none"/>
        </w:tabs>
        <w:ind w:left="477"/>
        <w:rPr/>
      </w:pPr>
      <w:r>
        <w:rPr/>
      </w:r>
    </w:p>
    <w:p>
      <w:pPr>
        <w:pStyle w:val="NormaleCorpo"/>
        <w:rPr/>
      </w:pPr>
      <w:r>
        <w:rPr>
          <w:rFonts w:cs="Arial" w:ascii="Arial" w:hAnsi="Arial"/>
          <w:sz w:val="20"/>
          <w:szCs w:val="20"/>
        </w:rPr>
        <w:t>SERVIZI OFFERTI</w:t>
      </w:r>
    </w:p>
    <w:p>
      <w:pPr>
        <w:pStyle w:val="NormaleCorpo"/>
        <w:rPr/>
      </w:pPr>
      <w:r>
        <w:rPr>
          <w:rFonts w:cs="Arial" w:ascii="Arial" w:hAnsi="Arial"/>
          <w:sz w:val="20"/>
          <w:szCs w:val="20"/>
        </w:rPr>
        <w:t>Trasporto pubblico extraurbano su gomma sul territorio regionale della Sardegna</w:t>
      </w:r>
    </w:p>
    <w:p>
      <w:pPr>
        <w:pStyle w:val="NormaleCorpo"/>
        <w:rPr/>
      </w:pPr>
      <w:r>
        <w:rPr>
          <w:rFonts w:cs="Arial" w:ascii="Arial" w:hAnsi="Arial"/>
          <w:sz w:val="20"/>
          <w:szCs w:val="20"/>
        </w:rPr>
        <w:t>mediante autoservizi, che garantiscono collegamenti capillari sia nei giorni feriali</w:t>
      </w:r>
    </w:p>
    <w:p>
      <w:pPr>
        <w:pStyle w:val="NormaleCorpo"/>
        <w:rPr/>
      </w:pPr>
      <w:r>
        <w:rPr>
          <w:rFonts w:cs="Arial" w:ascii="Arial" w:hAnsi="Arial"/>
          <w:sz w:val="20"/>
          <w:szCs w:val="20"/>
        </w:rPr>
        <w:t>che festivi in tutta la regione (369 comuni serviti), con:</w:t>
      </w:r>
    </w:p>
    <w:p>
      <w:pPr>
        <w:pStyle w:val="NormaleCorpo"/>
        <w:numPr>
          <w:ilvl w:val="0"/>
          <w:numId w:val="11"/>
        </w:numPr>
        <w:rPr/>
      </w:pPr>
      <w:r>
        <w:rPr>
          <w:rFonts w:cs="Arial" w:ascii="Arial" w:hAnsi="Arial"/>
          <w:sz w:val="20"/>
          <w:szCs w:val="20"/>
        </w:rPr>
        <w:t>4.000 corse/giorno</w:t>
      </w:r>
    </w:p>
    <w:p>
      <w:pPr>
        <w:pStyle w:val="NormaleCorpo"/>
        <w:numPr>
          <w:ilvl w:val="0"/>
          <w:numId w:val="239"/>
        </w:numPr>
        <w:rPr/>
      </w:pPr>
      <w:r>
        <w:rPr>
          <w:rFonts w:cs="Arial" w:ascii="Arial" w:hAnsi="Arial"/>
          <w:sz w:val="20"/>
          <w:szCs w:val="20"/>
        </w:rPr>
        <w:t>3.000 fermate</w:t>
      </w:r>
    </w:p>
    <w:p>
      <w:pPr>
        <w:pStyle w:val="NormaleCorpo"/>
        <w:numPr>
          <w:ilvl w:val="0"/>
          <w:numId w:val="240"/>
        </w:numPr>
        <w:rPr/>
      </w:pPr>
      <w:r>
        <w:rPr>
          <w:rFonts w:cs="Arial" w:ascii="Arial" w:hAnsi="Arial"/>
          <w:sz w:val="20"/>
          <w:szCs w:val="20"/>
        </w:rPr>
        <w:t>35.500.000 percorrenze annue km</w:t>
      </w:r>
    </w:p>
    <w:p>
      <w:pPr>
        <w:pStyle w:val="NormaleCorpo"/>
        <w:rPr/>
      </w:pPr>
      <w:r>
        <w:rPr>
          <w:rFonts w:cs="Arial" w:ascii="Arial" w:hAnsi="Arial"/>
          <w:sz w:val="20"/>
          <w:szCs w:val="20"/>
        </w:rPr>
        <w:t>Trasporto pubblico urbano su gomma nei comuni di Oristano, Carbonia, Iglesias,</w:t>
      </w:r>
    </w:p>
    <w:p>
      <w:pPr>
        <w:pStyle w:val="NormaleCorpo"/>
        <w:rPr/>
      </w:pPr>
      <w:r>
        <w:rPr>
          <w:rFonts w:cs="Arial" w:ascii="Arial" w:hAnsi="Arial"/>
          <w:sz w:val="20"/>
          <w:szCs w:val="20"/>
        </w:rPr>
        <w:t>Macomer, Alghero con:</w:t>
      </w:r>
    </w:p>
    <w:p>
      <w:pPr>
        <w:pStyle w:val="NormaleCorpo"/>
        <w:numPr>
          <w:ilvl w:val="0"/>
          <w:numId w:val="12"/>
        </w:numPr>
        <w:rPr/>
      </w:pPr>
      <w:r>
        <w:rPr>
          <w:rFonts w:cs="Arial" w:ascii="Arial" w:hAnsi="Arial"/>
          <w:sz w:val="20"/>
          <w:szCs w:val="20"/>
        </w:rPr>
        <w:t>650 corse per giorno</w:t>
      </w:r>
    </w:p>
    <w:p>
      <w:pPr>
        <w:pStyle w:val="NormaleCorpo"/>
        <w:numPr>
          <w:ilvl w:val="0"/>
          <w:numId w:val="241"/>
        </w:numPr>
        <w:rPr/>
      </w:pPr>
      <w:r>
        <w:rPr>
          <w:rFonts w:cs="Arial" w:ascii="Arial" w:hAnsi="Arial"/>
          <w:sz w:val="20"/>
          <w:szCs w:val="20"/>
        </w:rPr>
        <w:t>700 fermate</w:t>
      </w:r>
    </w:p>
    <w:p>
      <w:pPr>
        <w:pStyle w:val="NormaleCorpo"/>
        <w:numPr>
          <w:ilvl w:val="0"/>
          <w:numId w:val="242"/>
        </w:numPr>
        <w:rPr/>
      </w:pPr>
      <w:r>
        <w:rPr>
          <w:rFonts w:cs="Arial" w:ascii="Arial" w:hAnsi="Arial"/>
          <w:sz w:val="20"/>
          <w:szCs w:val="20"/>
        </w:rPr>
        <w:t>2.000.000 percorrenze annue km</w:t>
      </w:r>
    </w:p>
    <w:p>
      <w:pPr>
        <w:pStyle w:val="NormaleCorpo"/>
        <w:rPr/>
      </w:pPr>
      <w:r>
        <w:rPr>
          <w:rFonts w:cs="Arial" w:ascii="Arial" w:hAnsi="Arial"/>
          <w:sz w:val="20"/>
          <w:szCs w:val="20"/>
        </w:rPr>
        <w:t>Trasporto metrotranviario nella città di Cagliari:</w:t>
      </w:r>
    </w:p>
    <w:p>
      <w:pPr>
        <w:pStyle w:val="NormaleCorpo"/>
        <w:numPr>
          <w:ilvl w:val="0"/>
          <w:numId w:val="13"/>
        </w:numPr>
        <w:rPr/>
      </w:pPr>
      <w:r>
        <w:rPr>
          <w:rFonts w:cs="Arial" w:ascii="Arial" w:hAnsi="Arial"/>
          <w:sz w:val="20"/>
          <w:szCs w:val="20"/>
        </w:rPr>
        <w:t>MetroCagliari:</w:t>
      </w:r>
    </w:p>
    <w:p>
      <w:pPr>
        <w:pStyle w:val="NormaleCorpo"/>
        <w:numPr>
          <w:ilvl w:val="0"/>
          <w:numId w:val="243"/>
        </w:numPr>
        <w:rPr/>
      </w:pPr>
      <w:r>
        <w:rPr>
          <w:rFonts w:cs="Arial" w:ascii="Arial" w:hAnsi="Arial"/>
          <w:sz w:val="20"/>
          <w:szCs w:val="20"/>
        </w:rPr>
        <w:t>Linea 1 (Repubblica - San Gottardo - Policlinico)</w:t>
      </w:r>
    </w:p>
    <w:p>
      <w:pPr>
        <w:pStyle w:val="NormaleCorpo"/>
        <w:numPr>
          <w:ilvl w:val="0"/>
          <w:numId w:val="244"/>
        </w:numPr>
        <w:rPr/>
      </w:pPr>
      <w:r>
        <w:rPr>
          <w:rFonts w:cs="Arial" w:ascii="Arial" w:hAnsi="Arial"/>
          <w:sz w:val="20"/>
          <w:szCs w:val="20"/>
        </w:rPr>
        <w:t>Linea 2 (Settimo San Pietro - San Gottardo - Policlinico)</w:t>
      </w:r>
    </w:p>
    <w:p>
      <w:pPr>
        <w:pStyle w:val="Heading4"/>
        <w:numPr>
          <w:ilvl w:val="3"/>
          <w:numId w:val="245"/>
        </w:numPr>
        <w:rPr/>
      </w:pPr>
      <w:r>
        <w:rPr>
          <w:rFonts w:cs="Arial" w:ascii="Arial" w:hAnsi="Arial"/>
          <w:sz w:val="22"/>
          <w:szCs w:val="22"/>
        </w:rPr>
        <w:t>Situazione relativa all’inquinamento acustico</w:t>
      </w:r>
    </w:p>
    <w:p>
      <w:pPr>
        <w:pStyle w:val="StandardWW"/>
        <w:spacing w:lineRule="auto" w:line="360"/>
        <w:rPr/>
      </w:pPr>
      <w:r>
        <w:rPr/>
      </w:r>
    </w:p>
    <w:p>
      <w:pPr>
        <w:pStyle w:val="NormaleCorpo"/>
        <w:spacing w:lineRule="auto" w:line="360"/>
        <w:rPr/>
      </w:pPr>
      <w:r>
        <w:rPr>
          <w:rFonts w:cs="Arial" w:ascii="Arial" w:hAnsi="Arial"/>
          <w:sz w:val="20"/>
          <w:szCs w:val="20"/>
        </w:rPr>
        <w:t>L'ARST non ha prodotto, ad oggi, un'analisi relativa all’inquinamento acustico prodotto nell’ambito della propria attività di gestore di servizio di trasporto pubblico ai sensi dell’art.2, comma 1 del D.M. 29/11/2000.</w:t>
      </w:r>
    </w:p>
    <w:p>
      <w:pPr>
        <w:pStyle w:val="NormaleCorpo"/>
        <w:spacing w:lineRule="auto" w:line="360"/>
        <w:rPr/>
      </w:pPr>
      <w:r>
        <w:rPr>
          <w:rFonts w:cs="Arial" w:ascii="Arial" w:hAnsi="Arial"/>
          <w:sz w:val="20"/>
          <w:szCs w:val="20"/>
        </w:rPr>
        <w:t>Nel contempo, comunque, l’azienda ha bandito nel 2017 n.2 gare per l’acquisto di 130 nuovi autobus e conta di arrivare ad un parco macchine nuovo di 200 entro il 2018.</w:t>
      </w:r>
    </w:p>
    <w:p>
      <w:pPr>
        <w:pStyle w:val="NormaleCorpo"/>
        <w:spacing w:lineRule="auto" w:line="360"/>
        <w:rPr/>
      </w:pPr>
      <w:r>
        <w:rPr>
          <w:rFonts w:cs="Arial" w:ascii="Arial" w:hAnsi="Arial"/>
          <w:sz w:val="20"/>
          <w:szCs w:val="20"/>
        </w:rPr>
        <w:t>La linea metrotramviaria dell’Agglomerato di Cagliari ha compiuto i 10 anni di esercizio e sono stati messi in transito nel 2018 n.3 nuovi tram modello “Urbos” che potenzieranno le frequenze</w:t>
      </w:r>
    </w:p>
    <w:p>
      <w:pPr>
        <w:pStyle w:val="StandardWW"/>
        <w:spacing w:lineRule="auto" w:line="360"/>
        <w:rPr/>
      </w:pPr>
      <w:r>
        <w:rPr/>
      </w:r>
    </w:p>
    <w:p>
      <w:pPr>
        <w:pStyle w:val="StandardWW"/>
        <w:spacing w:lineRule="auto" w:line="360"/>
        <w:rPr/>
      </w:pPr>
      <w:r>
        <w:rPr/>
      </w:r>
    </w:p>
    <w:p>
      <w:pPr>
        <w:pStyle w:val="Heading4"/>
        <w:numPr>
          <w:ilvl w:val="3"/>
          <w:numId w:val="246"/>
        </w:numPr>
        <w:rPr/>
      </w:pPr>
      <w:r>
        <w:rPr/>
        <w:t>Risultati attesi nel prossimo quinquennio in relazione al miglioramento della situazione acustica</w:t>
      </w:r>
    </w:p>
    <w:p>
      <w:pPr>
        <w:pStyle w:val="StandardWW"/>
        <w:spacing w:lineRule="auto" w:line="360"/>
        <w:rPr/>
      </w:pPr>
      <w:r>
        <w:rPr/>
      </w:r>
    </w:p>
    <w:p>
      <w:pPr>
        <w:pStyle w:val="NormaleCorpo"/>
        <w:spacing w:lineRule="auto" w:line="360"/>
        <w:rPr/>
      </w:pPr>
      <w:r>
        <w:rPr>
          <w:rFonts w:cs="Arial" w:ascii="Arial" w:hAnsi="Arial"/>
          <w:sz w:val="20"/>
          <w:szCs w:val="20"/>
        </w:rPr>
        <w:t>Oggi la flotta bus ha un’età media di circa 11-12 anni, per uscire da questa criticità l’azienda vorrebbe programmare un rinnovo di circa 100 bus/anno con una spesa che varia tra i 25-28 milioni di Euro per i prossimi cinque anni.</w:t>
      </w:r>
    </w:p>
    <w:p>
      <w:pPr>
        <w:pStyle w:val="NormaleCorpo"/>
        <w:spacing w:lineRule="auto" w:line="360"/>
        <w:rPr/>
      </w:pPr>
      <w:r>
        <w:rPr>
          <w:rFonts w:cs="Arial" w:ascii="Arial" w:hAnsi="Arial"/>
          <w:sz w:val="20"/>
          <w:szCs w:val="20"/>
        </w:rPr>
        <w:t>Si prevede che il rinnovo del parco mezzi circolante possa ridurre il contributo specifico di ARST al rumore delle infrastrutture stradali comunali.</w:t>
      </w:r>
    </w:p>
    <w:p>
      <w:pPr>
        <w:pStyle w:val="NormaleCorpo"/>
        <w:spacing w:lineRule="auto" w:line="360"/>
        <w:rPr/>
      </w:pPr>
      <w:r>
        <w:rPr>
          <w:rFonts w:cs="Arial" w:ascii="Arial" w:hAnsi="Arial"/>
          <w:sz w:val="20"/>
          <w:szCs w:val="20"/>
        </w:rPr>
        <w:t>Con l’approvazione dei piani di classificazione acustica comunali dei Comuni di Maracalagonis e Sestu e la conseguente individuazione dei limiti applicabili alle strade di tipo E ed F ai sensi della Tab.2 del D.P.R. 142/2004, l’ARST dovrà dare seguito al disposto di cui all’art.2, comma 1 del D.M. 29/11/2000.</w:t>
      </w:r>
    </w:p>
    <w:p>
      <w:pPr>
        <w:pStyle w:val="Heading3"/>
        <w:numPr>
          <w:ilvl w:val="2"/>
          <w:numId w:val="247"/>
        </w:numPr>
        <w:rPr/>
      </w:pPr>
      <w:bookmarkStart w:id="54" w:name="__RefHeading___Toc6597_925477505"/>
      <w:bookmarkStart w:id="55" w:name="_Toc178778189"/>
      <w:bookmarkEnd w:id="54"/>
      <w:r>
        <w:rPr>
          <w:b/>
        </w:rPr>
        <w:t>Rete metrotranviaria – A.R.S.T. S.p.A.</w:t>
      </w:r>
      <w:bookmarkEnd w:id="55"/>
    </w:p>
    <w:p>
      <w:pPr>
        <w:pStyle w:val="StandardWW"/>
        <w:spacing w:lineRule="auto" w:line="240"/>
        <w:rPr>
          <w:lang w:val="en-US"/>
        </w:rPr>
      </w:pPr>
      <w:r>
        <w:rPr>
          <w:lang w:val="en-US"/>
        </w:rPr>
      </w:r>
    </w:p>
    <w:p>
      <w:pPr>
        <w:pStyle w:val="NormaleCorpo"/>
        <w:spacing w:lineRule="auto" w:line="360"/>
        <w:rPr/>
      </w:pPr>
      <w:r>
        <w:rPr>
          <w:rFonts w:cs="Arial" w:ascii="Arial" w:hAnsi="Arial"/>
          <w:sz w:val="20"/>
          <w:szCs w:val="20"/>
          <w:lang w:val="en-US"/>
        </w:rPr>
        <w:t>Attualmente oltre alla linea che collega p.zza Repubblica_Cagliari con Gottardo_Monserrato, esaminata nei precedenti piani di azione, sono in esercizio i tracciati tra Monserrato_Gottardo–Policlinico e Monserrato_Gottardo-Settimo S.Pietro.</w:t>
      </w:r>
    </w:p>
    <w:p>
      <w:pPr>
        <w:pStyle w:val="FigureTabelle"/>
        <w:rPr/>
      </w:pPr>
      <w:r>
        <w:rPr/>
      </w:r>
    </w:p>
    <w:p>
      <w:pPr>
        <w:pStyle w:val="Caption11"/>
        <w:rPr/>
      </w:pPr>
      <w:bookmarkStart w:id="56" w:name="_Toc171964355"/>
      <w:r>
        <w:rPr/>
        <w:t>Figura 9.6 -</w:t>
      </w:r>
      <w:bookmarkEnd w:id="56"/>
    </w:p>
    <w:p>
      <w:pPr>
        <w:pStyle w:val="StandardWW"/>
        <w:spacing w:lineRule="auto" w:line="360"/>
        <w:rPr/>
      </w:pPr>
      <w:r>
        <w:rPr>
          <w:lang w:val="en-US"/>
        </w:rPr>
        <w:t>Al momento della redazione del presente lavoro occorre considerare che la linea ferroviaria FdS è stata trasformata per un notevole tratto dell’Agglomerato di Cagliari sino alla stazione del Policlinico di Monserrato in metrotranvia di superficie.</w:t>
      </w:r>
    </w:p>
    <w:p>
      <w:pPr>
        <w:pStyle w:val="StandardWW"/>
        <w:spacing w:lineRule="auto" w:line="240"/>
        <w:rPr>
          <w:lang w:val="en-US"/>
        </w:rPr>
      </w:pPr>
      <w:r>
        <w:rPr>
          <w:lang w:val="en-US"/>
        </w:rPr>
      </w:r>
    </w:p>
    <w:p>
      <w:pPr>
        <w:pStyle w:val="Caption11"/>
        <w:rPr/>
      </w:pPr>
      <w:bookmarkStart w:id="57" w:name="_Toc171964391"/>
      <w:r>
        <w:rPr/>
        <w:t>Tabella 9.11 -</w:t>
      </w:r>
      <w:bookmarkEnd w:id="57"/>
    </w:p>
    <w:tbl>
      <w:tblPr>
        <w:tblW w:w="7000" w:type="dxa"/>
        <w:jc w:val="center"/>
        <w:tblInd w:w="0" w:type="dxa"/>
        <w:tblLayout w:type="fixed"/>
        <w:tblCellMar>
          <w:top w:w="0" w:type="dxa"/>
          <w:left w:w="70" w:type="dxa"/>
          <w:bottom w:w="0" w:type="dxa"/>
          <w:right w:w="70" w:type="dxa"/>
        </w:tblCellMar>
        <w:tblLook w:firstRow="0" w:noVBand="0" w:lastRow="0" w:firstColumn="0" w:lastColumn="0" w:noHBand="0" w:val="0000"/>
      </w:tblPr>
      <w:tblGrid>
        <w:gridCol w:w="6041"/>
        <w:gridCol w:w="958"/>
      </w:tblGrid>
      <w:tr>
        <w:trPr>
          <w:trHeight w:val="300" w:hRule="atLeast"/>
        </w:trPr>
        <w:tc>
          <w:tcPr>
            <w:tcW w:w="6041"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b/>
                <w:color w:val="000000"/>
                <w:sz w:val="18"/>
                <w:szCs w:val="18"/>
                <w:lang w:eastAsia="it-IT"/>
              </w:rPr>
              <w:t>Linee tranviarie dentro Agglomerato Cagliari</w:t>
            </w:r>
          </w:p>
        </w:tc>
        <w:tc>
          <w:tcPr>
            <w:tcW w:w="958"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b/>
                <w:color w:val="000000"/>
                <w:sz w:val="18"/>
                <w:szCs w:val="18"/>
                <w:lang w:eastAsia="it-IT"/>
              </w:rPr>
              <w:t>Km</w:t>
            </w:r>
          </w:p>
        </w:tc>
      </w:tr>
      <w:tr>
        <w:trPr>
          <w:trHeight w:val="300" w:hRule="atLeast"/>
        </w:trPr>
        <w:tc>
          <w:tcPr>
            <w:tcW w:w="6041"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color w:val="000000"/>
                <w:sz w:val="18"/>
                <w:szCs w:val="18"/>
                <w:lang w:eastAsia="it-IT"/>
              </w:rPr>
              <w:t>Metrocagliari Linea 1</w:t>
            </w:r>
          </w:p>
        </w:tc>
        <w:tc>
          <w:tcPr>
            <w:tcW w:w="958"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color w:val="000000"/>
                <w:sz w:val="18"/>
                <w:szCs w:val="18"/>
                <w:lang w:eastAsia="it-IT"/>
              </w:rPr>
              <w:t>6.5</w:t>
            </w:r>
          </w:p>
        </w:tc>
      </w:tr>
      <w:tr>
        <w:trPr>
          <w:trHeight w:val="300" w:hRule="atLeast"/>
        </w:trPr>
        <w:tc>
          <w:tcPr>
            <w:tcW w:w="6041"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color w:val="000000"/>
                <w:sz w:val="18"/>
                <w:szCs w:val="18"/>
                <w:lang w:eastAsia="it-IT"/>
              </w:rPr>
              <w:t>Metrocagliari Linea 1_Tratto Monserrato-Policlinico</w:t>
            </w:r>
          </w:p>
        </w:tc>
        <w:tc>
          <w:tcPr>
            <w:tcW w:w="958"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color w:val="000000"/>
                <w:sz w:val="18"/>
                <w:szCs w:val="18"/>
                <w:lang w:eastAsia="it-IT"/>
              </w:rPr>
              <w:t>1.5</w:t>
            </w:r>
          </w:p>
        </w:tc>
      </w:tr>
      <w:tr>
        <w:trPr>
          <w:trHeight w:val="300" w:hRule="atLeast"/>
        </w:trPr>
        <w:tc>
          <w:tcPr>
            <w:tcW w:w="6041"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color w:val="000000"/>
                <w:sz w:val="18"/>
                <w:szCs w:val="18"/>
                <w:lang w:eastAsia="it-IT"/>
              </w:rPr>
              <w:t>Metrocagliari Linea 2</w:t>
            </w:r>
          </w:p>
        </w:tc>
        <w:tc>
          <w:tcPr>
            <w:tcW w:w="958"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color w:val="000000"/>
                <w:sz w:val="18"/>
                <w:szCs w:val="18"/>
                <w:lang w:eastAsia="it-IT"/>
              </w:rPr>
              <w:t>4</w:t>
            </w:r>
          </w:p>
        </w:tc>
      </w:tr>
      <w:tr>
        <w:trPr>
          <w:trHeight w:val="300" w:hRule="atLeast"/>
        </w:trPr>
        <w:tc>
          <w:tcPr>
            <w:tcW w:w="6041"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b/>
                <w:color w:val="000000"/>
                <w:sz w:val="18"/>
                <w:szCs w:val="18"/>
                <w:lang w:eastAsia="it-IT"/>
              </w:rPr>
              <w:t>Totale</w:t>
            </w:r>
          </w:p>
        </w:tc>
        <w:tc>
          <w:tcPr>
            <w:tcW w:w="958" w:type="dxa"/>
            <w:tcBorders>
              <w:top w:val="single" w:sz="4" w:space="0" w:color="00000A"/>
              <w:left w:val="single" w:sz="4" w:space="0" w:color="00000A"/>
              <w:bottom w:val="single" w:sz="4" w:space="0" w:color="00000A"/>
              <w:right w:val="single" w:sz="4" w:space="0" w:color="00000A"/>
            </w:tcBorders>
            <w:vAlign w:val="center"/>
          </w:tcPr>
          <w:p>
            <w:pPr>
              <w:pStyle w:val="StandardWW"/>
              <w:suppressAutoHyphens w:val="false"/>
              <w:spacing w:lineRule="auto" w:line="240"/>
              <w:rPr/>
            </w:pPr>
            <w:r>
              <w:rPr>
                <w:b/>
                <w:color w:val="000000"/>
                <w:sz w:val="18"/>
                <w:szCs w:val="18"/>
                <w:lang w:eastAsia="it-IT"/>
              </w:rPr>
              <w:t>12</w:t>
            </w:r>
          </w:p>
        </w:tc>
      </w:tr>
    </w:tbl>
    <w:p>
      <w:pPr>
        <w:pStyle w:val="StandardWW"/>
        <w:spacing w:lineRule="auto" w:line="240"/>
        <w:rPr>
          <w:i/>
          <w:i/>
          <w:iCs/>
        </w:rPr>
      </w:pPr>
      <w:r>
        <w:rPr>
          <w:i/>
          <w:iCs/>
        </w:rPr>
      </w:r>
    </w:p>
    <w:p>
      <w:pPr>
        <w:pStyle w:val="StandardWW"/>
        <w:spacing w:lineRule="auto" w:line="240"/>
        <w:rPr>
          <w:i/>
          <w:i/>
          <w:iCs/>
        </w:rPr>
      </w:pPr>
      <w:r>
        <w:rPr>
          <w:i/>
          <w:iCs/>
        </w:rPr>
      </w:r>
    </w:p>
    <w:p>
      <w:pPr>
        <w:pStyle w:val="Heading4"/>
        <w:numPr>
          <w:ilvl w:val="3"/>
          <w:numId w:val="248"/>
        </w:numPr>
        <w:rPr/>
      </w:pPr>
      <w:r>
        <w:rPr>
          <w:bCs/>
        </w:rPr>
        <w:t>Situazion</w:t>
      </w:r>
      <w:r>
        <w:rPr/>
        <w:t>e relativa all’inquinamento acustico e gestione delle problematiche acustiche</w:t>
      </w:r>
    </w:p>
    <w:p>
      <w:pPr>
        <w:pStyle w:val="StandardWW"/>
        <w:spacing w:lineRule="auto" w:line="240"/>
        <w:rPr/>
      </w:pPr>
      <w:r>
        <w:rPr/>
      </w:r>
    </w:p>
    <w:p>
      <w:pPr>
        <w:pStyle w:val="NormaleCorpo"/>
        <w:spacing w:lineRule="auto" w:line="360"/>
        <w:rPr/>
      </w:pPr>
      <w:r>
        <w:rPr>
          <w:rFonts w:cs="Arial" w:ascii="Arial" w:hAnsi="Arial"/>
          <w:sz w:val="20"/>
          <w:szCs w:val="20"/>
        </w:rPr>
        <w:t>Nel 2000 FdS fece una serie di rilievi fonometrici per determinare l’impatto acustico della linea ferroviaria.</w:t>
      </w:r>
    </w:p>
    <w:p>
      <w:pPr>
        <w:pStyle w:val="NormaleCorpo"/>
        <w:spacing w:lineRule="auto" w:line="360"/>
        <w:rPr/>
      </w:pPr>
      <w:r>
        <w:rPr>
          <w:rFonts w:cs="Arial" w:ascii="Arial" w:hAnsi="Arial"/>
          <w:sz w:val="20"/>
          <w:szCs w:val="20"/>
        </w:rPr>
        <w:t>Successivamente alla inaugurazione della prima tratta di metropolitana leggera (2008), l'ente gestore eseguì il collaudo acustico, attestando il rispetto dei limiti di legge, e pertanto non furono previsti interventi di risanamento acustico.</w:t>
      </w:r>
    </w:p>
    <w:p>
      <w:pPr>
        <w:pStyle w:val="NormaleCorpo"/>
        <w:spacing w:lineRule="auto" w:line="360"/>
        <w:rPr/>
      </w:pPr>
      <w:r>
        <w:rPr>
          <w:rFonts w:cs="Arial" w:ascii="Arial" w:hAnsi="Arial"/>
          <w:sz w:val="20"/>
          <w:szCs w:val="20"/>
        </w:rPr>
        <w:t>Per la determinazione dell’impatto acustico della metropolitana leggera di Cagliari ci si è avvalsi dei dati relativi all’attività svolta per la procedura di V.I.A. per il nuovo tracciato tra p.zza Repubblica e p.zza. Matteotti e i SEL rilevati dai transiti dei convogli sul tracciato esistente.</w:t>
      </w:r>
    </w:p>
    <w:p>
      <w:pPr>
        <w:pStyle w:val="NormaleCorpo"/>
        <w:spacing w:lineRule="auto" w:line="360"/>
        <w:rPr>
          <w:rFonts w:ascii="Arial" w:hAnsi="Arial" w:cs="Arial"/>
          <w:sz w:val="20"/>
          <w:szCs w:val="20"/>
        </w:rPr>
      </w:pPr>
      <w:r>
        <w:rPr>
          <w:rFonts w:cs="Arial" w:ascii="Arial" w:hAnsi="Arial"/>
          <w:sz w:val="20"/>
          <w:szCs w:val="20"/>
        </w:rPr>
        <w:t>Nel mese di novembre 2024 (prot. 0040163 del 21/11/2024 della CITTÀ METROPOLITANA DI CAGLIARI) ARST ha trasmesso ulteriore documentazione relativa agli studi dell’impatto acustico del nuovo tratto Monserrato-Sestu</w:t>
      </w:r>
    </w:p>
    <w:p>
      <w:pPr>
        <w:pStyle w:val="NormaleCorpo"/>
        <w:rPr/>
      </w:pPr>
      <w:r>
        <w:rPr/>
      </w:r>
    </w:p>
    <w:p>
      <w:pPr>
        <w:pStyle w:val="NormaleCorpo"/>
        <w:spacing w:lineRule="auto" w:line="360"/>
        <w:rPr/>
      </w:pPr>
      <w:bookmarkStart w:id="58" w:name="_GoBack"/>
      <w:bookmarkEnd w:id="58"/>
      <w:r>
        <w:rPr>
          <w:rFonts w:cs="Arial" w:ascii="Arial" w:hAnsi="Arial"/>
          <w:sz w:val="20"/>
          <w:szCs w:val="20"/>
        </w:rPr>
        <w:t>Occorre rilevare che in passato erano pervenuti esposti e segnalazioni da parte di privati cittadini che evidenziarono la presenza di problematiche di emissione sonora (stridii) che si verificano in particolare in corrispondenza di curve o scambi.</w:t>
      </w:r>
    </w:p>
    <w:p>
      <w:pPr>
        <w:pStyle w:val="NormaleCorpo"/>
        <w:spacing w:lineRule="auto" w:line="360"/>
        <w:rPr/>
      </w:pPr>
      <w:r>
        <w:rPr>
          <w:rFonts w:cs="Arial" w:ascii="Arial" w:hAnsi="Arial"/>
          <w:sz w:val="20"/>
          <w:szCs w:val="20"/>
        </w:rPr>
        <w:t>L'ARST è intervenuta per risolvere la problematica suindicata, mediante l'incremento della lubrificazione delle linee nei tratti di interesse con un apposito carrellino.</w:t>
      </w:r>
    </w:p>
    <w:p>
      <w:pPr>
        <w:pStyle w:val="NormaleCorpo"/>
        <w:spacing w:lineRule="auto" w:line="360"/>
        <w:rPr/>
      </w:pPr>
      <w:r>
        <w:rPr>
          <w:rFonts w:cs="Arial" w:ascii="Arial" w:hAnsi="Arial"/>
          <w:sz w:val="20"/>
          <w:szCs w:val="20"/>
        </w:rPr>
        <w:t>Il tracciato di nuova realizzazione tra le stazioni di Monserrato_Gottardo e il Policlinico è dotato di barriere antirumore lungo tutto il percorso che segue il viadotto.</w:t>
      </w:r>
    </w:p>
    <w:p>
      <w:pPr>
        <w:pStyle w:val="StandardWW"/>
        <w:spacing w:lineRule="auto" w:line="240"/>
        <w:rPr/>
      </w:pPr>
      <w:r>
        <w:rPr/>
        <w:drawing>
          <wp:inline distT="0" distB="0" distL="0" distR="0">
            <wp:extent cx="5940425" cy="2287905"/>
            <wp:effectExtent l="0" t="0" r="0" b="0"/>
            <wp:docPr id="9" name="Immagin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3" descr=""/>
                    <pic:cNvPicPr>
                      <a:picLocks noChangeAspect="1" noChangeArrowheads="1"/>
                    </pic:cNvPicPr>
                  </pic:nvPicPr>
                  <pic:blipFill>
                    <a:blip r:embed="rId13"/>
                    <a:stretch>
                      <a:fillRect/>
                    </a:stretch>
                  </pic:blipFill>
                  <pic:spPr bwMode="auto">
                    <a:xfrm>
                      <a:off x="0" y="0"/>
                      <a:ext cx="5940425" cy="2287905"/>
                    </a:xfrm>
                    <a:prstGeom prst="rect">
                      <a:avLst/>
                    </a:prstGeom>
                  </pic:spPr>
                </pic:pic>
              </a:graphicData>
            </a:graphic>
          </wp:inline>
        </w:drawing>
      </w:r>
    </w:p>
    <w:p>
      <w:pPr>
        <w:pStyle w:val="FigureTabelle"/>
        <w:rPr/>
      </w:pPr>
      <w:bookmarkStart w:id="59" w:name="_Toc171894435"/>
      <w:bookmarkStart w:id="60" w:name="_Toc171964357"/>
      <w:r>
        <w:rPr/>
        <w:t>Figura 9.</w:t>
      </w:r>
      <w:bookmarkEnd w:id="60"/>
      <w:r>
        <w:rPr/>
        <w:t>8</w:t>
      </w:r>
      <w:bookmarkEnd w:id="59"/>
    </w:p>
    <w:p>
      <w:pPr>
        <w:pStyle w:val="StandardWW"/>
        <w:spacing w:lineRule="auto" w:line="240"/>
        <w:rPr>
          <w:b/>
          <w:i/>
          <w:i/>
          <w:iCs/>
        </w:rPr>
      </w:pPr>
      <w:r>
        <w:rPr>
          <w:b/>
          <w:i/>
          <w:iCs/>
        </w:rPr>
      </w:r>
    </w:p>
    <w:p>
      <w:pPr>
        <w:pStyle w:val="Heading4"/>
        <w:numPr>
          <w:ilvl w:val="3"/>
          <w:numId w:val="249"/>
        </w:numPr>
        <w:rPr/>
      </w:pPr>
      <w:r>
        <w:rPr/>
        <w:t>Risultati attesi nel prossimo quinquennio in relazione al miglioramento della situazione acustica</w:t>
      </w:r>
    </w:p>
    <w:p>
      <w:pPr>
        <w:pStyle w:val="StandardWW"/>
        <w:spacing w:lineRule="auto" w:line="360"/>
        <w:rPr/>
      </w:pPr>
      <w:r>
        <w:rPr/>
      </w:r>
    </w:p>
    <w:p>
      <w:pPr>
        <w:pStyle w:val="NormaleCorpo"/>
        <w:spacing w:lineRule="auto" w:line="360"/>
        <w:rPr/>
      </w:pPr>
      <w:r>
        <w:rPr>
          <w:rFonts w:cs="Arial" w:ascii="Arial" w:hAnsi="Arial"/>
          <w:sz w:val="20"/>
          <w:szCs w:val="20"/>
        </w:rPr>
        <w:t>Nel 2016 è stata aggiudicata la gara per la progettazione esecutiva del tracciato metrotranviario tra p.zza Repubblica e p.zza Matteotti a Cagliari di circa 2,5 km, l’importo complessivo per la realizzazione è di circa 20 milioni di Euro. Sono previste n.7 fermate correlate con parcheggi sosta auto con funzionalità d’interscambio.</w:t>
      </w:r>
    </w:p>
    <w:p>
      <w:pPr>
        <w:pStyle w:val="NormaleCorpo"/>
        <w:spacing w:lineRule="auto" w:line="360"/>
        <w:rPr/>
      </w:pPr>
      <w:r>
        <w:rPr>
          <w:rFonts w:cs="Arial" w:ascii="Arial" w:hAnsi="Arial"/>
          <w:w w:val="95"/>
          <w:sz w:val="20"/>
          <w:szCs w:val="20"/>
        </w:rPr>
        <w:t>Non si riscontrano, nella fascia di pertinenza dei 30 mt del tracciato urbano, l’insistenza di recettori definiti dalla norma “sensibili” quali scuole o strutture sanitarie. Lo studio previsionale acustico redatto nel 2014 e ripreso nella procedura di verifica di assogettabilità a V.I.A., conclusasi con non assogettabilità con Delibera di G.R. 7/12 del 2015, ha condotto a dei risultati in sinergia con la diminuzione del traffico veicolare, di un sostanziale diminuzione dei livelli sonori caratterizzanti il clima acustico dell’area di studio.</w:t>
      </w:r>
    </w:p>
    <w:p>
      <w:pPr>
        <w:pStyle w:val="StandardWW"/>
        <w:spacing w:lineRule="auto" w:line="240"/>
        <w:rPr>
          <w:w w:val="95"/>
        </w:rPr>
      </w:pPr>
      <w:r>
        <w:rPr>
          <w:w w:val="95"/>
        </w:rPr>
      </w:r>
    </w:p>
    <w:p>
      <w:pPr>
        <w:pStyle w:val="FigureTabelle"/>
        <w:rPr/>
      </w:pPr>
      <w:r>
        <w:rPr/>
        <w:drawing>
          <wp:inline distT="0" distB="0" distL="0" distR="0">
            <wp:extent cx="5003800" cy="3959860"/>
            <wp:effectExtent l="0" t="0" r="0" b="0"/>
            <wp:docPr id="10" name="Immagin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4" descr=""/>
                    <pic:cNvPicPr>
                      <a:picLocks noChangeAspect="1" noChangeArrowheads="1"/>
                    </pic:cNvPicPr>
                  </pic:nvPicPr>
                  <pic:blipFill>
                    <a:blip r:embed="rId14"/>
                    <a:stretch>
                      <a:fillRect/>
                    </a:stretch>
                  </pic:blipFill>
                  <pic:spPr bwMode="auto">
                    <a:xfrm>
                      <a:off x="0" y="0"/>
                      <a:ext cx="5003800" cy="3959860"/>
                    </a:xfrm>
                    <a:prstGeom prst="rect">
                      <a:avLst/>
                    </a:prstGeom>
                  </pic:spPr>
                </pic:pic>
              </a:graphicData>
            </a:graphic>
          </wp:inline>
        </w:drawing>
      </w:r>
    </w:p>
    <w:p>
      <w:pPr>
        <w:pStyle w:val="Caption11"/>
        <w:rPr/>
      </w:pPr>
      <w:bookmarkStart w:id="61" w:name="_Toc171964358"/>
      <w:bookmarkStart w:id="62" w:name="_Toc171894436"/>
      <w:r>
        <w:rPr/>
        <w:t xml:space="preserve">Figura 9.9 - </w:t>
      </w:r>
      <w:r>
        <w:rPr>
          <w:w w:val="95"/>
        </w:rPr>
        <w:t>Tratto della linea di metropolitana leggera di Cagliari (Repubblica-Matteotti) in corso di progettazione esecutiva</w:t>
      </w:r>
      <w:bookmarkEnd w:id="61"/>
      <w:bookmarkEnd w:id="62"/>
    </w:p>
    <w:p>
      <w:pPr>
        <w:pStyle w:val="StandardWW"/>
        <w:spacing w:lineRule="auto" w:line="360"/>
        <w:rPr/>
      </w:pPr>
      <w:r>
        <w:rPr/>
      </w:r>
    </w:p>
    <w:p>
      <w:pPr>
        <w:pStyle w:val="NormaleCorpo"/>
        <w:spacing w:lineRule="auto" w:line="360"/>
        <w:rPr/>
      </w:pPr>
      <w:r>
        <w:rPr>
          <w:rFonts w:cs="Arial" w:ascii="Arial" w:hAnsi="Arial"/>
          <w:sz w:val="20"/>
          <w:szCs w:val="20"/>
        </w:rPr>
        <w:t>E’ allo studio un progetto complessivo di realizzazione dell’intera rete di metropolitana leggera intorno all’Agglomerato di Cagliari.</w:t>
      </w:r>
    </w:p>
    <w:p>
      <w:pPr>
        <w:pStyle w:val="NormaleCorpo"/>
        <w:spacing w:lineRule="auto" w:line="360"/>
        <w:rPr/>
      </w:pPr>
      <w:r>
        <w:rPr>
          <w:rFonts w:cs="Arial" w:ascii="Arial" w:hAnsi="Arial"/>
          <w:sz w:val="20"/>
          <w:szCs w:val="20"/>
        </w:rPr>
        <w:t>Il progetto complessivo prevede la realizzazione di un sistema tranviario veloce nell'area urbana di Cagliari, destinato ad estendersi anche alle tratte ferroviarie esistenti che collegano Cagliari con Soleminis e Dolianova.</w:t>
      </w:r>
    </w:p>
    <w:p>
      <w:pPr>
        <w:pStyle w:val="NormaleCorpo"/>
        <w:spacing w:lineRule="auto" w:line="360"/>
        <w:rPr/>
      </w:pPr>
      <w:r>
        <w:rPr>
          <w:rFonts w:cs="Arial" w:ascii="Arial" w:hAnsi="Arial"/>
          <w:sz w:val="20"/>
          <w:szCs w:val="20"/>
        </w:rPr>
        <w:t>L’obiettivo dell'ARST è di contribuire in modo sostanziale a ridurre i costi generali di trasporto e i tempi di percorrenza, garantendo un migliore servizio alla collettività e un minore inquinamento ambientale e acustico delle aree urbane.</w:t>
      </w:r>
    </w:p>
    <w:p>
      <w:pPr>
        <w:pStyle w:val="NormaleCorpo"/>
        <w:spacing w:lineRule="auto" w:line="360"/>
        <w:rPr/>
      </w:pPr>
      <w:r>
        <w:rPr>
          <w:rFonts w:cs="Arial" w:ascii="Arial" w:hAnsi="Arial"/>
          <w:sz w:val="20"/>
          <w:szCs w:val="20"/>
        </w:rPr>
        <w:t>L'opera si presenta realizzabile con approccio modulare e prevede tre grandi scenari di intervento: la realizzazione di due circuiti ad anello: “ANELLO OVEST” e “ANELLO EST” e la riqualificazione della linea Cagliari-Settimo S.Pietro, Soleminis e Dolianova, eventualmente ampliabile sino a Senorbì.</w:t>
      </w:r>
    </w:p>
    <w:p>
      <w:pPr>
        <w:pStyle w:val="NormaleCorpo"/>
        <w:spacing w:lineRule="auto" w:line="360"/>
        <w:rPr/>
      </w:pPr>
      <w:r>
        <w:rPr>
          <w:rFonts w:cs="Arial" w:ascii="Arial" w:hAnsi="Arial"/>
          <w:sz w:val="20"/>
          <w:szCs w:val="20"/>
        </w:rPr>
        <w:t>Le Ferrovie della Sardegna (FdS) avevano dato inizio già nel 2004 ai lavori del primo tratto della metropolitana leggera di Cagliari.</w:t>
      </w:r>
    </w:p>
    <w:p>
      <w:pPr>
        <w:pStyle w:val="NormaleCorpo"/>
        <w:spacing w:lineRule="auto" w:line="360"/>
        <w:rPr/>
      </w:pPr>
      <w:r>
        <w:rPr>
          <w:rFonts w:cs="Arial" w:ascii="Arial" w:hAnsi="Arial"/>
          <w:sz w:val="20"/>
          <w:szCs w:val="20"/>
        </w:rPr>
        <w:t>Finanziato dallo Stato e dalla Regione Sardegna con fondi strutturali (FESR) dell'Unione Europea (POR 2000 - 2006, Misura 6.2), l’intervento ha realizzato la riqualificazione del tratto compreso tra le stazioni di Cagliari Piazza Repubblica- Monserrato-Settimo S.Pietro.</w:t>
      </w:r>
    </w:p>
    <w:p>
      <w:pPr>
        <w:pStyle w:val="StandardWW"/>
        <w:spacing w:lineRule="auto" w:line="360"/>
        <w:rPr/>
      </w:pPr>
      <w:r>
        <w:rPr/>
      </w:r>
    </w:p>
    <w:p>
      <w:pPr>
        <w:pStyle w:val="Heading2"/>
        <w:numPr>
          <w:ilvl w:val="1"/>
          <w:numId w:val="250"/>
        </w:numPr>
        <w:rPr/>
      </w:pPr>
      <w:bookmarkStart w:id="63" w:name="__RefHeading__21_468148522"/>
      <w:bookmarkStart w:id="64" w:name="_Toc178778190"/>
      <w:bookmarkEnd w:id="63"/>
      <w:r>
        <w:rPr>
          <w:rFonts w:cs="Arial" w:ascii="Arial" w:hAnsi="Arial"/>
          <w:sz w:val="20"/>
          <w:szCs w:val="20"/>
        </w:rPr>
        <w:t>Piani di risanamento acustico delle infrastrutture ferroviarie</w:t>
      </w:r>
      <w:bookmarkEnd w:id="64"/>
    </w:p>
    <w:p>
      <w:pPr>
        <w:pStyle w:val="StandardWW"/>
        <w:rPr/>
      </w:pPr>
      <w:r>
        <w:rPr/>
      </w:r>
    </w:p>
    <w:p>
      <w:pPr>
        <w:pStyle w:val="Heading4"/>
        <w:numPr>
          <w:ilvl w:val="3"/>
          <w:numId w:val="251"/>
        </w:numPr>
        <w:rPr/>
      </w:pPr>
      <w:bookmarkStart w:id="65" w:name="__RefHeading___Toc6806_1652849244"/>
      <w:bookmarkEnd w:id="65"/>
      <w:r>
        <w:rPr>
          <w:rFonts w:cs="Arial" w:ascii="Arial" w:hAnsi="Arial"/>
          <w:sz w:val="20"/>
          <w:szCs w:val="20"/>
        </w:rPr>
        <w:t>Rete Ferroviaria Italiana – R.F.I. S.p.A.</w:t>
      </w:r>
    </w:p>
    <w:p>
      <w:pPr>
        <w:pStyle w:val="StandardWW"/>
        <w:spacing w:lineRule="auto" w:line="240"/>
        <w:rPr/>
      </w:pPr>
      <w:r>
        <w:rPr/>
      </w:r>
    </w:p>
    <w:p>
      <w:pPr>
        <w:pStyle w:val="NormaleCorpo"/>
        <w:rPr/>
      </w:pPr>
      <w:r>
        <w:rPr>
          <w:rFonts w:cs="Arial" w:ascii="Arial" w:hAnsi="Arial"/>
          <w:sz w:val="20"/>
          <w:szCs w:val="20"/>
        </w:rPr>
        <w:t>La porzione di rete ferroviaria compresa nell’Agglomerato di Cagliari si sviluppa per circa 15 km.</w:t>
      </w:r>
    </w:p>
    <w:p>
      <w:pPr>
        <w:pStyle w:val="NormaleCorpo"/>
        <w:rPr/>
      </w:pPr>
      <w:r>
        <w:rPr>
          <w:rFonts w:cs="Arial" w:ascii="Arial" w:hAnsi="Arial"/>
          <w:sz w:val="20"/>
          <w:szCs w:val="20"/>
        </w:rPr>
        <w:t>Il D.M. 29/11/2000 stabilisce le modalità con cui i gestori delle infrastrutture di trasporto individuano le aree in cui sia stimato il superamento dei limiti normativi prescritti dal D.P.R. 459/1998 e per le quali redigere ed attuare il piano degli interventi di contenimento ed abbattimento del rumore, di cui all’art.10 comma 5 della L.q. 447/1995.</w:t>
      </w:r>
    </w:p>
    <w:p>
      <w:pPr>
        <w:pStyle w:val="NormaleCorpo"/>
        <w:rPr>
          <w:rFonts w:ascii="Arial" w:hAnsi="Arial" w:cs="Arial"/>
          <w:sz w:val="20"/>
          <w:szCs w:val="20"/>
        </w:rPr>
      </w:pPr>
      <w:r>
        <w:rPr>
          <w:rFonts w:cs="Arial" w:ascii="Arial" w:hAnsi="Arial"/>
          <w:sz w:val="20"/>
          <w:szCs w:val="20"/>
        </w:rPr>
      </w:r>
    </w:p>
    <w:p>
      <w:pPr>
        <w:pStyle w:val="NormaleCorpo"/>
        <w:rPr/>
      </w:pPr>
      <w:r>
        <w:rPr>
          <w:rFonts w:cs="Arial" w:ascii="Arial" w:hAnsi="Arial"/>
          <w:sz w:val="20"/>
          <w:szCs w:val="20"/>
        </w:rPr>
        <w:t xml:space="preserve">RFI ha inviato ai Comuni interessati (Cagliari, Elmas ed Assemini) e alla Città Metropolitana di Cagliari un documento intitolato </w:t>
      </w:r>
      <w:r>
        <w:rPr>
          <w:rFonts w:cs="Arial" w:ascii="Arial" w:hAnsi="Arial"/>
          <w:i/>
          <w:iCs/>
          <w:sz w:val="20"/>
          <w:szCs w:val="20"/>
          <w:u w:val="single"/>
        </w:rPr>
        <w:t>“Piano d’azione per gli assi ferroviari principali negli agglomerati ai sensi del D.Lgs. n.194 del 19/08/05”</w:t>
      </w:r>
      <w:r>
        <w:rPr>
          <w:rFonts w:cs="Arial" w:ascii="Arial" w:hAnsi="Arial"/>
          <w:sz w:val="20"/>
          <w:szCs w:val="20"/>
        </w:rPr>
        <w:t xml:space="preserve"> datato 16 giugno 2023</w:t>
      </w:r>
    </w:p>
    <w:p>
      <w:pPr>
        <w:pStyle w:val="NormaleCorpo"/>
        <w:rPr/>
      </w:pPr>
      <w:r>
        <w:rPr>
          <w:rFonts w:cs="Arial" w:ascii="Arial" w:hAnsi="Arial"/>
          <w:sz w:val="20"/>
          <w:szCs w:val="20"/>
        </w:rPr>
        <w:t>Nel caso di RFI ci si è avvalsi oltre che dei dati forniti ai sensi del D.M. 29/11/2000 anche dei progetti contenuti nel piano d'azione, redatto al mese di ottobre 2017, ai sensi del D.Lgs. 194/2005 per i gestori di infrastrutture con assi ferroviari su cui transitano più di 30.000 convogli/anno.</w:t>
      </w:r>
    </w:p>
    <w:p>
      <w:pPr>
        <w:pStyle w:val="StandardWW"/>
        <w:spacing w:lineRule="auto" w:line="240"/>
        <w:rPr/>
      </w:pPr>
      <w:r>
        <w:rPr/>
      </w:r>
    </w:p>
    <w:p>
      <w:pPr>
        <w:pStyle w:val="Heading4"/>
        <w:numPr>
          <w:ilvl w:val="3"/>
          <w:numId w:val="252"/>
        </w:numPr>
        <w:rPr/>
      </w:pPr>
      <w:r>
        <w:rPr>
          <w:rFonts w:cs="Arial" w:ascii="Arial" w:hAnsi="Arial"/>
          <w:sz w:val="20"/>
          <w:szCs w:val="20"/>
        </w:rPr>
        <w:t>Situazione inquinamento acustico</w:t>
      </w:r>
    </w:p>
    <w:p>
      <w:pPr>
        <w:pStyle w:val="StandardWW"/>
        <w:spacing w:lineRule="auto" w:line="240"/>
        <w:rPr/>
      </w:pPr>
      <w:r>
        <w:rPr/>
      </w:r>
    </w:p>
    <w:p>
      <w:pPr>
        <w:pStyle w:val="NormaleCorpo"/>
        <w:rPr/>
      </w:pPr>
      <w:r>
        <w:rPr>
          <w:rFonts w:cs="Arial" w:ascii="Arial" w:hAnsi="Arial"/>
          <w:sz w:val="20"/>
          <w:szCs w:val="20"/>
        </w:rPr>
        <w:t xml:space="preserve">I risultati della mappa acustica strategica sviluppata nel 2017, integrandoli con i dati forniti da RFI, fornisce il quadro seguente riportato nella </w:t>
      </w:r>
      <w:r>
        <w:rPr>
          <w:rFonts w:cs="Arial" w:ascii="Arial" w:hAnsi="Arial"/>
          <w:sz w:val="20"/>
          <w:szCs w:val="20"/>
        </w:rPr>
        <w:fldChar w:fldCharType="begin"/>
      </w:r>
      <w:r>
        <w:rPr>
          <w:sz w:val="20"/>
          <w:szCs w:val="20"/>
          <w:rFonts w:cs="Arial" w:ascii="Arial" w:hAnsi="Arial"/>
        </w:rPr>
        <w:instrText xml:space="preserve"> REF _Ref171962380 \h </w:instrText>
      </w:r>
      <w:r>
        <w:rPr>
          <w:sz w:val="20"/>
          <w:szCs w:val="20"/>
          <w:rFonts w:cs="Arial" w:ascii="Arial" w:hAnsi="Arial"/>
        </w:rPr>
        <w:fldChar w:fldCharType="separate"/>
      </w:r>
      <w:r>
        <w:rPr>
          <w:sz w:val="20"/>
          <w:szCs w:val="20"/>
          <w:rFonts w:cs="Arial" w:ascii="Arial" w:hAnsi="Arial"/>
        </w:rPr>
        <w:t>Tabella 9.12</w:t>
      </w:r>
      <w:r>
        <w:rPr>
          <w:sz w:val="20"/>
          <w:szCs w:val="20"/>
          <w:rFonts w:cs="Arial" w:ascii="Arial" w:hAnsi="Arial"/>
        </w:rPr>
        <w:fldChar w:fldCharType="end"/>
      </w:r>
      <w:r>
        <w:rPr>
          <w:rFonts w:cs="Arial" w:ascii="Arial" w:hAnsi="Arial"/>
          <w:sz w:val="20"/>
          <w:szCs w:val="20"/>
        </w:rPr>
        <w:t>.</w:t>
      </w:r>
    </w:p>
    <w:p>
      <w:pPr>
        <w:pStyle w:val="Caption11"/>
        <w:rPr/>
      </w:pPr>
      <w:bookmarkStart w:id="66" w:name="_Ref171962380"/>
      <w:bookmarkStart w:id="67" w:name="_Toc171964392"/>
      <w:r>
        <w:rPr/>
        <w:t>Tabella 9.</w:t>
      </w:r>
      <w:bookmarkEnd w:id="67"/>
      <w:r>
        <w:rPr/>
        <w:t>12</w:t>
      </w:r>
      <w:bookmarkEnd w:id="66"/>
    </w:p>
    <w:tbl>
      <w:tblPr>
        <w:tblW w:w="5468" w:type="dxa"/>
        <w:jc w:val="center"/>
        <w:tblInd w:w="0" w:type="dxa"/>
        <w:tblLayout w:type="fixed"/>
        <w:tblCellMar>
          <w:top w:w="55" w:type="dxa"/>
          <w:left w:w="55" w:type="dxa"/>
          <w:bottom w:w="55" w:type="dxa"/>
          <w:right w:w="55" w:type="dxa"/>
        </w:tblCellMar>
        <w:tblLook w:firstRow="0" w:noVBand="0" w:lastRow="0" w:firstColumn="0" w:lastColumn="0" w:noHBand="0" w:val="0000"/>
      </w:tblPr>
      <w:tblGrid>
        <w:gridCol w:w="1140"/>
        <w:gridCol w:w="1170"/>
        <w:gridCol w:w="1168"/>
        <w:gridCol w:w="1169"/>
        <w:gridCol w:w="821"/>
      </w:tblGrid>
      <w:tr>
        <w:trPr/>
        <w:tc>
          <w:tcPr>
            <w:tcW w:w="5468" w:type="dxa"/>
            <w:gridSpan w:val="5"/>
            <w:tcBorders>
              <w:top w:val="single" w:sz="2" w:space="0" w:color="000000"/>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b/>
                <w:bCs/>
              </w:rPr>
              <w:t>Numero di persone esposte a livelli di Lden dB(A)</w:t>
            </w:r>
          </w:p>
        </w:tc>
      </w:tr>
      <w:tr>
        <w:trPr/>
        <w:tc>
          <w:tcPr>
            <w:tcW w:w="114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55-59</w:t>
            </w:r>
          </w:p>
        </w:tc>
        <w:tc>
          <w:tcPr>
            <w:tcW w:w="117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60-64</w:t>
            </w:r>
          </w:p>
        </w:tc>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65-69</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70-74</w:t>
            </w:r>
          </w:p>
        </w:tc>
        <w:tc>
          <w:tcPr>
            <w:tcW w:w="821"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b/>
                <w:bCs/>
              </w:rPr>
              <w:t>&gt;75</w:t>
            </w:r>
          </w:p>
        </w:tc>
      </w:tr>
      <w:tr>
        <w:trPr/>
        <w:tc>
          <w:tcPr>
            <w:tcW w:w="114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751</w:t>
            </w:r>
          </w:p>
        </w:tc>
        <w:tc>
          <w:tcPr>
            <w:tcW w:w="117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366</w:t>
            </w:r>
          </w:p>
        </w:tc>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10</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27</w:t>
            </w:r>
          </w:p>
        </w:tc>
        <w:tc>
          <w:tcPr>
            <w:tcW w:w="821"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t>0</w:t>
            </w:r>
          </w:p>
        </w:tc>
      </w:tr>
      <w:tr>
        <w:trPr/>
        <w:tc>
          <w:tcPr>
            <w:tcW w:w="5468" w:type="dxa"/>
            <w:gridSpan w:val="5"/>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b/>
                <w:bCs/>
              </w:rPr>
              <w:t>Numero di persone esposte a livelli di Lnight dB(A)</w:t>
            </w:r>
          </w:p>
        </w:tc>
      </w:tr>
      <w:tr>
        <w:trPr/>
        <w:tc>
          <w:tcPr>
            <w:tcW w:w="114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50-54</w:t>
            </w:r>
          </w:p>
        </w:tc>
        <w:tc>
          <w:tcPr>
            <w:tcW w:w="117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55-59</w:t>
            </w:r>
          </w:p>
        </w:tc>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60-64</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65-69</w:t>
            </w:r>
          </w:p>
        </w:tc>
        <w:tc>
          <w:tcPr>
            <w:tcW w:w="821"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b/>
                <w:bCs/>
              </w:rPr>
              <w:t>&gt;70</w:t>
            </w:r>
          </w:p>
        </w:tc>
      </w:tr>
      <w:tr>
        <w:trPr/>
        <w:tc>
          <w:tcPr>
            <w:tcW w:w="114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1.286</w:t>
            </w:r>
          </w:p>
        </w:tc>
        <w:tc>
          <w:tcPr>
            <w:tcW w:w="1170"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844</w:t>
            </w:r>
          </w:p>
        </w:tc>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603</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0</w:t>
            </w:r>
          </w:p>
        </w:tc>
        <w:tc>
          <w:tcPr>
            <w:tcW w:w="821"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t>0</w:t>
            </w:r>
          </w:p>
        </w:tc>
      </w:tr>
    </w:tbl>
    <w:p>
      <w:pPr>
        <w:pStyle w:val="StandardWW"/>
        <w:spacing w:lineRule="auto" w:line="240"/>
        <w:rPr/>
      </w:pPr>
      <w:r>
        <w:rPr/>
      </w:r>
    </w:p>
    <w:p>
      <w:pPr>
        <w:pStyle w:val="NormaleCorpo"/>
        <w:rPr/>
      </w:pPr>
      <w:r>
        <w:rPr>
          <w:rFonts w:cs="Arial" w:ascii="Arial" w:hAnsi="Arial"/>
          <w:sz w:val="20"/>
          <w:szCs w:val="20"/>
        </w:rPr>
        <w:t>Nonostante che della popolazione risulti esposta a livelli di rumore secondo gli indicatori della Direttiva 2002/49/CE, non si sono rilevate nel tempo particolari criticità; comunque come menzionato, RFI con nota registrata agli atti con prot. n.629 del 11/1/2018 ha depositato il documento previsto all'art.4 del D.Lgs. 194/2005 contenente alcune azioni per la mitigazione dell'inquinamento acustico.</w:t>
      </w:r>
    </w:p>
    <w:p>
      <w:pPr>
        <w:pStyle w:val="StandardWW"/>
        <w:spacing w:lineRule="auto" w:line="240"/>
        <w:rPr>
          <w:i/>
          <w:i/>
          <w:iCs/>
        </w:rPr>
      </w:pPr>
      <w:r>
        <w:rPr>
          <w:i/>
          <w:iCs/>
        </w:rPr>
      </w:r>
    </w:p>
    <w:p>
      <w:pPr>
        <w:pStyle w:val="Heading4"/>
        <w:numPr>
          <w:ilvl w:val="3"/>
          <w:numId w:val="253"/>
        </w:numPr>
        <w:rPr/>
      </w:pPr>
      <w:r>
        <w:rPr>
          <w:rFonts w:cs="Arial" w:ascii="Arial" w:hAnsi="Arial"/>
          <w:sz w:val="20"/>
          <w:szCs w:val="20"/>
        </w:rPr>
        <w:t>Attività di abbattimento e contenimento del rumore</w:t>
      </w:r>
    </w:p>
    <w:p>
      <w:pPr>
        <w:pStyle w:val="StandardWW"/>
        <w:spacing w:lineRule="auto" w:line="240"/>
        <w:rPr/>
      </w:pPr>
      <w:r>
        <w:rPr/>
      </w:r>
    </w:p>
    <w:p>
      <w:pPr>
        <w:pStyle w:val="NormaleCorpo"/>
        <w:rPr/>
      </w:pPr>
      <w:r>
        <w:rPr>
          <w:rFonts w:cs="Arial" w:ascii="Arial" w:hAnsi="Arial"/>
          <w:sz w:val="20"/>
          <w:szCs w:val="20"/>
        </w:rPr>
        <w:t xml:space="preserve">Sono stati individuati i seguenti interventi nel piano d’azione, riportati nella </w:t>
      </w:r>
      <w:r>
        <w:rPr>
          <w:rFonts w:cs="Arial" w:ascii="Arial" w:hAnsi="Arial"/>
          <w:sz w:val="20"/>
          <w:szCs w:val="20"/>
        </w:rPr>
        <w:fldChar w:fldCharType="begin"/>
      </w:r>
      <w:r>
        <w:rPr>
          <w:sz w:val="20"/>
          <w:szCs w:val="20"/>
          <w:rFonts w:cs="Arial" w:ascii="Arial" w:hAnsi="Arial"/>
        </w:rPr>
        <w:instrText xml:space="preserve"> REF _Ref171962460 \h </w:instrText>
      </w:r>
      <w:r>
        <w:rPr>
          <w:sz w:val="20"/>
          <w:szCs w:val="20"/>
          <w:rFonts w:cs="Arial" w:ascii="Arial" w:hAnsi="Arial"/>
        </w:rPr>
        <w:fldChar w:fldCharType="separate"/>
      </w:r>
      <w:r>
        <w:rPr>
          <w:sz w:val="20"/>
          <w:szCs w:val="20"/>
          <w:rFonts w:cs="Arial" w:ascii="Arial" w:hAnsi="Arial"/>
        </w:rPr>
        <w:t>Tabella 9.13</w:t>
      </w:r>
      <w:r>
        <w:rPr>
          <w:sz w:val="20"/>
          <w:szCs w:val="20"/>
          <w:rFonts w:cs="Arial" w:ascii="Arial" w:hAnsi="Arial"/>
        </w:rPr>
        <w:fldChar w:fldCharType="end"/>
      </w:r>
      <w:r>
        <w:rPr>
          <w:rFonts w:cs="Arial" w:ascii="Arial" w:hAnsi="Arial"/>
          <w:sz w:val="20"/>
          <w:szCs w:val="20"/>
        </w:rPr>
        <w:t>, nel quale però non viene stimata la riduzione della popolazione esposta nelle varie classi acustiche indicate dal D.Lgs. 194/2005, a seguito degli interventi di mitigazione. Gli interventi dovrebbero essere realizzati entro il 2025 stabilendo la pianificazione dei tempi di ciascuno nella sede della Conferenza Unificata Stato-Regioni.</w:t>
      </w:r>
    </w:p>
    <w:p>
      <w:pPr>
        <w:pStyle w:val="StandardWW"/>
        <w:spacing w:lineRule="auto" w:line="240"/>
        <w:rPr/>
      </w:pPr>
      <w:r>
        <w:rPr/>
      </w:r>
    </w:p>
    <w:p>
      <w:pPr>
        <w:pStyle w:val="FigureTabelle"/>
        <w:rPr/>
      </w:pPr>
      <w:bookmarkStart w:id="68" w:name="_Toc171964393"/>
      <w:bookmarkStart w:id="69" w:name="_Ref171962460"/>
      <w:r>
        <w:rPr>
          <w:rFonts w:cs="Arial" w:ascii="Arial" w:hAnsi="Arial"/>
          <w:szCs w:val="20"/>
        </w:rPr>
        <w:t>Tabella 9.13</w:t>
      </w:r>
      <w:bookmarkEnd w:id="69"/>
      <w:r>
        <w:rPr>
          <w:rFonts w:cs="Arial" w:ascii="Arial" w:hAnsi="Arial"/>
          <w:szCs w:val="20"/>
        </w:rPr>
        <w:t xml:space="preserve"> – RFI Interventi</w:t>
      </w:r>
      <w:bookmarkEnd w:id="68"/>
    </w:p>
    <w:tbl>
      <w:tblPr>
        <w:tblW w:w="9354" w:type="dxa"/>
        <w:jc w:val="center"/>
        <w:tblInd w:w="0" w:type="dxa"/>
        <w:tblLayout w:type="fixed"/>
        <w:tblCellMar>
          <w:top w:w="55" w:type="dxa"/>
          <w:left w:w="55" w:type="dxa"/>
          <w:bottom w:w="55" w:type="dxa"/>
          <w:right w:w="55" w:type="dxa"/>
        </w:tblCellMar>
        <w:tblLook w:firstRow="0" w:noVBand="0" w:lastRow="0" w:firstColumn="0" w:lastColumn="0" w:noHBand="0" w:val="0000"/>
      </w:tblPr>
      <w:tblGrid>
        <w:gridCol w:w="1246"/>
        <w:gridCol w:w="4109"/>
        <w:gridCol w:w="1291"/>
        <w:gridCol w:w="1473"/>
        <w:gridCol w:w="1235"/>
      </w:tblGrid>
      <w:tr>
        <w:trPr>
          <w:tblHeader w:val="true"/>
        </w:trPr>
        <w:tc>
          <w:tcPr>
            <w:tcW w:w="1246" w:type="dxa"/>
            <w:tcBorders>
              <w:top w:val="single" w:sz="2" w:space="0" w:color="000000"/>
              <w:left w:val="single" w:sz="2" w:space="0" w:color="000000"/>
              <w:bottom w:val="single" w:sz="2" w:space="0" w:color="000000"/>
            </w:tcBorders>
            <w:shd w:color="auto" w:fill="auto" w:val="clear"/>
            <w:vAlign w:val="center"/>
          </w:tcPr>
          <w:p>
            <w:pPr>
              <w:pStyle w:val="StandardWW"/>
              <w:spacing w:lineRule="auto" w:line="240"/>
              <w:rPr/>
            </w:pPr>
            <w:r>
              <w:rPr>
                <w:b/>
                <w:bCs/>
              </w:rPr>
              <w:t>Codice intervento</w:t>
            </w:r>
          </w:p>
        </w:tc>
        <w:tc>
          <w:tcPr>
            <w:tcW w:w="4109" w:type="dxa"/>
            <w:tcBorders>
              <w:top w:val="single" w:sz="2" w:space="0" w:color="000000"/>
              <w:left w:val="single" w:sz="2" w:space="0" w:color="000000"/>
              <w:bottom w:val="single" w:sz="2" w:space="0" w:color="000000"/>
            </w:tcBorders>
            <w:shd w:color="auto" w:fill="auto" w:val="clear"/>
            <w:vAlign w:val="center"/>
          </w:tcPr>
          <w:p>
            <w:pPr>
              <w:pStyle w:val="StandardWW"/>
              <w:spacing w:lineRule="auto" w:line="240"/>
              <w:rPr/>
            </w:pPr>
            <w:r>
              <w:rPr>
                <w:b/>
                <w:bCs/>
              </w:rPr>
              <w:t>Tratta</w:t>
            </w:r>
          </w:p>
        </w:tc>
        <w:tc>
          <w:tcPr>
            <w:tcW w:w="1291" w:type="dxa"/>
            <w:tcBorders>
              <w:top w:val="single" w:sz="2" w:space="0" w:color="000000"/>
              <w:left w:val="single" w:sz="2" w:space="0" w:color="000000"/>
              <w:bottom w:val="single" w:sz="2" w:space="0" w:color="000000"/>
            </w:tcBorders>
            <w:shd w:color="auto" w:fill="auto" w:val="clear"/>
            <w:vAlign w:val="center"/>
          </w:tcPr>
          <w:p>
            <w:pPr>
              <w:pStyle w:val="StandardWW"/>
              <w:spacing w:lineRule="auto" w:line="240"/>
              <w:rPr/>
            </w:pPr>
            <w:r>
              <w:rPr>
                <w:b/>
                <w:bCs/>
              </w:rPr>
              <w:t>Intervento</w:t>
            </w:r>
          </w:p>
        </w:tc>
        <w:tc>
          <w:tcPr>
            <w:tcW w:w="1473" w:type="dxa"/>
            <w:tcBorders>
              <w:top w:val="single" w:sz="2" w:space="0" w:color="000000"/>
              <w:left w:val="single" w:sz="2" w:space="0" w:color="000000"/>
              <w:bottom w:val="single" w:sz="2" w:space="0" w:color="000000"/>
            </w:tcBorders>
            <w:shd w:color="auto" w:fill="auto" w:val="clear"/>
            <w:vAlign w:val="center"/>
          </w:tcPr>
          <w:p>
            <w:pPr>
              <w:pStyle w:val="StandardWW"/>
              <w:spacing w:lineRule="auto" w:line="240"/>
              <w:rPr/>
            </w:pPr>
            <w:r>
              <w:rPr>
                <w:b/>
                <w:bCs/>
              </w:rPr>
              <w:t>Lunghezza</w:t>
            </w:r>
          </w:p>
          <w:p>
            <w:pPr>
              <w:pStyle w:val="StandardWW"/>
              <w:spacing w:lineRule="auto" w:line="240"/>
              <w:rPr/>
            </w:pPr>
            <w:r>
              <w:rPr>
                <w:b/>
                <w:bCs/>
              </w:rPr>
              <w:t>m</w:t>
            </w:r>
          </w:p>
        </w:tc>
        <w:tc>
          <w:tcPr>
            <w:tcW w:w="1235" w:type="dxa"/>
            <w:tcBorders>
              <w:top w:val="single" w:sz="2" w:space="0" w:color="000000"/>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b/>
                <w:bCs/>
              </w:rPr>
              <w:t>Costo €</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092108001</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Assemini Carmine – Cagliari Elmas</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Sostituzione infissi</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13.000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092108003</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Assemini Carmine – Cagliari Elmas</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Sostituzione infissi</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8.000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092009001</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Cagliari Elmas – Cagliari S.Gilla</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Sostituzione infissi</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13.000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092009002</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Cagliari Elmas – Cagliari S.Gilla</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Sostituzione infissi</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6.000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092009003</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Cagliari S.Gilla - Cagliari</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Sostituzione infissi</w:t>
            </w:r>
          </w:p>
        </w:tc>
        <w:tc>
          <w:tcPr>
            <w:tcW w:w="1473" w:type="dxa"/>
            <w:tcBorders>
              <w:left w:val="single" w:sz="2" w:space="0" w:color="000000"/>
              <w:bottom w:val="single" w:sz="2" w:space="0" w:color="000000"/>
            </w:tcBorders>
            <w:shd w:color="auto" w:fill="auto" w:val="clear"/>
            <w:vAlign w:val="center"/>
          </w:tcPr>
          <w:p>
            <w:pPr>
              <w:pStyle w:val="Contenutotabella"/>
              <w:spacing w:lineRule="auto" w:line="240" w:before="120" w:after="120"/>
              <w:rPr/>
            </w:pPr>
            <w:r>
              <w:rPr/>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32.000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092009004</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Cagliari S.Gilla - Cagliari</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Barriera</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t>396</w:t>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1.307.000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0920030 01</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Assemini - Cagliari Elmas</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Barriera</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t>666</w:t>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926.000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0920030 02</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Assemini - Cagliari Elmas</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Barriera</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t>770</w:t>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1.748.000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0920030 04</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Assemini - Cagliari Elmas</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Barriera</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t>3275</w:t>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8.160.000</w:t>
            </w:r>
          </w:p>
        </w:tc>
      </w:tr>
      <w:tr>
        <w:trPr/>
        <w:tc>
          <w:tcPr>
            <w:tcW w:w="1246" w:type="dxa"/>
            <w:tcBorders>
              <w:left w:val="single" w:sz="2" w:space="0" w:color="000000"/>
              <w:bottom w:val="single" w:sz="2" w:space="0" w:color="000000"/>
            </w:tcBorders>
            <w:shd w:color="auto" w:fill="auto" w:val="clear"/>
            <w:vAlign w:val="center"/>
          </w:tcPr>
          <w:p>
            <w:pPr>
              <w:pStyle w:val="StandardWW"/>
              <w:spacing w:lineRule="auto" w:line="240"/>
              <w:rPr/>
            </w:pPr>
            <w:r>
              <w:rPr/>
              <w:t>092108002</w:t>
            </w:r>
          </w:p>
        </w:tc>
        <w:tc>
          <w:tcPr>
            <w:tcW w:w="4109" w:type="dxa"/>
            <w:tcBorders>
              <w:left w:val="single" w:sz="2" w:space="0" w:color="000000"/>
              <w:bottom w:val="single" w:sz="2" w:space="0" w:color="000000"/>
            </w:tcBorders>
            <w:shd w:color="auto" w:fill="auto" w:val="clear"/>
            <w:vAlign w:val="center"/>
          </w:tcPr>
          <w:p>
            <w:pPr>
              <w:pStyle w:val="StandardWW"/>
              <w:spacing w:lineRule="auto" w:line="240"/>
              <w:rPr/>
            </w:pPr>
            <w:r>
              <w:rPr/>
              <w:t>Assemini - Cagliari Elmas</w:t>
            </w:r>
          </w:p>
        </w:tc>
        <w:tc>
          <w:tcPr>
            <w:tcW w:w="1291" w:type="dxa"/>
            <w:tcBorders>
              <w:left w:val="single" w:sz="2" w:space="0" w:color="000000"/>
              <w:bottom w:val="single" w:sz="2" w:space="0" w:color="000000"/>
            </w:tcBorders>
            <w:shd w:color="auto" w:fill="auto" w:val="clear"/>
            <w:vAlign w:val="center"/>
          </w:tcPr>
          <w:p>
            <w:pPr>
              <w:pStyle w:val="StandardWW"/>
              <w:spacing w:lineRule="auto" w:line="240"/>
              <w:rPr/>
            </w:pPr>
            <w:r>
              <w:rPr/>
              <w:t>Barriera</w:t>
            </w:r>
          </w:p>
        </w:tc>
        <w:tc>
          <w:tcPr>
            <w:tcW w:w="1473" w:type="dxa"/>
            <w:tcBorders>
              <w:left w:val="single" w:sz="2" w:space="0" w:color="000000"/>
              <w:bottom w:val="single" w:sz="2" w:space="0" w:color="000000"/>
            </w:tcBorders>
            <w:shd w:color="auto" w:fill="auto" w:val="clear"/>
            <w:vAlign w:val="center"/>
          </w:tcPr>
          <w:p>
            <w:pPr>
              <w:pStyle w:val="StandardWW"/>
              <w:spacing w:lineRule="auto" w:line="240"/>
              <w:rPr/>
            </w:pPr>
            <w:r>
              <w:rPr/>
              <w:t>235</w:t>
            </w:r>
          </w:p>
        </w:tc>
        <w:tc>
          <w:tcPr>
            <w:tcW w:w="1235" w:type="dxa"/>
            <w:tcBorders>
              <w:left w:val="single" w:sz="2" w:space="0" w:color="000000"/>
              <w:bottom w:val="single" w:sz="2" w:space="0" w:color="000000"/>
              <w:right w:val="single" w:sz="2" w:space="0" w:color="000000"/>
            </w:tcBorders>
            <w:shd w:color="auto" w:fill="auto" w:val="clear"/>
            <w:vAlign w:val="center"/>
          </w:tcPr>
          <w:p>
            <w:pPr>
              <w:pStyle w:val="StandardWW"/>
              <w:spacing w:lineRule="auto" w:line="240"/>
              <w:rPr/>
            </w:pPr>
            <w:r>
              <w:rPr/>
              <w:t>327.000</w:t>
            </w:r>
          </w:p>
        </w:tc>
      </w:tr>
    </w:tbl>
    <w:p>
      <w:pPr>
        <w:pStyle w:val="StandardWW"/>
        <w:tabs>
          <w:tab w:val="clear" w:pos="708"/>
          <w:tab w:val="left" w:pos="284" w:leader="none"/>
        </w:tabs>
        <w:spacing w:lineRule="auto" w:line="240"/>
        <w:ind w:right="-34"/>
        <w:rPr>
          <w:i/>
          <w:i/>
        </w:rPr>
      </w:pPr>
      <w:r>
        <w:rPr>
          <w:i/>
        </w:rPr>
      </w:r>
    </w:p>
    <w:p>
      <w:pPr>
        <w:pStyle w:val="FigureTabelle"/>
        <w:rPr/>
      </w:pPr>
      <w:r>
        <w:rPr/>
        <w:drawing>
          <wp:inline distT="0" distB="0" distL="0" distR="0">
            <wp:extent cx="5940425" cy="3569335"/>
            <wp:effectExtent l="0" t="0" r="0" b="0"/>
            <wp:docPr id="11" name="Immagin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8" descr=""/>
                    <pic:cNvPicPr>
                      <a:picLocks noChangeAspect="1" noChangeArrowheads="1"/>
                    </pic:cNvPicPr>
                  </pic:nvPicPr>
                  <pic:blipFill>
                    <a:blip r:embed="rId15"/>
                    <a:stretch>
                      <a:fillRect/>
                    </a:stretch>
                  </pic:blipFill>
                  <pic:spPr bwMode="auto">
                    <a:xfrm>
                      <a:off x="0" y="0"/>
                      <a:ext cx="5940425" cy="3569335"/>
                    </a:xfrm>
                    <a:prstGeom prst="rect">
                      <a:avLst/>
                    </a:prstGeom>
                  </pic:spPr>
                </pic:pic>
              </a:graphicData>
            </a:graphic>
          </wp:inline>
        </w:drawing>
      </w:r>
    </w:p>
    <w:p>
      <w:pPr>
        <w:pStyle w:val="Caption11"/>
        <w:rPr/>
      </w:pPr>
      <w:bookmarkStart w:id="70" w:name="_Toc171964361"/>
      <w:bookmarkStart w:id="71" w:name="_Toc171894439"/>
      <w:r>
        <w:rPr/>
        <w:t>Figura 9.12 – RFI Quadro d'insieme interventi</w:t>
      </w:r>
      <w:bookmarkEnd w:id="70"/>
      <w:bookmarkEnd w:id="71"/>
    </w:p>
    <w:p>
      <w:pPr>
        <w:pStyle w:val="StandardWW"/>
        <w:rPr/>
      </w:pPr>
      <w:r>
        <w:rPr/>
      </w:r>
    </w:p>
    <w:p>
      <w:pPr>
        <w:pStyle w:val="FigureTabelle"/>
        <w:rPr/>
      </w:pPr>
      <w:r>
        <w:rPr/>
        <w:drawing>
          <wp:inline distT="0" distB="0" distL="0" distR="0">
            <wp:extent cx="5940425" cy="3569335"/>
            <wp:effectExtent l="0" t="0" r="0" b="0"/>
            <wp:docPr id="12" name="Immagin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13" descr=""/>
                    <pic:cNvPicPr>
                      <a:picLocks noChangeAspect="1" noChangeArrowheads="1"/>
                    </pic:cNvPicPr>
                  </pic:nvPicPr>
                  <pic:blipFill>
                    <a:blip r:embed="rId16"/>
                    <a:stretch>
                      <a:fillRect/>
                    </a:stretch>
                  </pic:blipFill>
                  <pic:spPr bwMode="auto">
                    <a:xfrm>
                      <a:off x="0" y="0"/>
                      <a:ext cx="5940425" cy="3569335"/>
                    </a:xfrm>
                    <a:prstGeom prst="rect">
                      <a:avLst/>
                    </a:prstGeom>
                  </pic:spPr>
                </pic:pic>
              </a:graphicData>
            </a:graphic>
          </wp:inline>
        </w:drawing>
      </w:r>
    </w:p>
    <w:p>
      <w:pPr>
        <w:pStyle w:val="FigureTabelle"/>
        <w:rPr/>
      </w:pPr>
      <w:bookmarkStart w:id="72" w:name="_Toc171964362"/>
      <w:bookmarkStart w:id="73" w:name="_Toc171894440"/>
      <w:r>
        <w:rPr>
          <w:rFonts w:cs="Arial" w:ascii="Arial" w:hAnsi="Arial"/>
          <w:szCs w:val="20"/>
        </w:rPr>
        <w:t>Figura 9.13 – RFI Inserimento barriere comune di Cagliari</w:t>
      </w:r>
      <w:bookmarkEnd w:id="72"/>
      <w:bookmarkEnd w:id="73"/>
      <w:r>
        <w:br w:type="page"/>
      </w:r>
    </w:p>
    <w:p>
      <w:pPr>
        <w:pStyle w:val="StandardWW"/>
        <w:spacing w:before="0" w:after="0"/>
        <w:rPr/>
      </w:pPr>
      <w:r>
        <w:rPr/>
      </w:r>
    </w:p>
    <w:p>
      <w:pPr>
        <w:pStyle w:val="StandardWW"/>
        <w:rPr/>
      </w:pPr>
      <w:r>
        <w:rPr/>
      </w:r>
    </w:p>
    <w:p>
      <w:pPr>
        <w:pStyle w:val="FigureTabelle"/>
        <w:rPr/>
      </w:pPr>
      <w:r>
        <w:rPr/>
        <w:drawing>
          <wp:inline distT="0" distB="0" distL="0" distR="0">
            <wp:extent cx="5940425" cy="3569335"/>
            <wp:effectExtent l="0" t="0" r="0" b="0"/>
            <wp:docPr id="13" name="Immagin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14" descr=""/>
                    <pic:cNvPicPr>
                      <a:picLocks noChangeAspect="1" noChangeArrowheads="1"/>
                    </pic:cNvPicPr>
                  </pic:nvPicPr>
                  <pic:blipFill>
                    <a:blip r:embed="rId17"/>
                    <a:stretch>
                      <a:fillRect/>
                    </a:stretch>
                  </pic:blipFill>
                  <pic:spPr bwMode="auto">
                    <a:xfrm>
                      <a:off x="0" y="0"/>
                      <a:ext cx="5940425" cy="3569335"/>
                    </a:xfrm>
                    <a:prstGeom prst="rect">
                      <a:avLst/>
                    </a:prstGeom>
                  </pic:spPr>
                </pic:pic>
              </a:graphicData>
            </a:graphic>
          </wp:inline>
        </w:drawing>
      </w:r>
    </w:p>
    <w:p>
      <w:pPr>
        <w:pStyle w:val="Caption11"/>
        <w:rPr/>
      </w:pPr>
      <w:bookmarkStart w:id="74" w:name="_Toc171964363"/>
      <w:bookmarkStart w:id="75" w:name="_Toc171894441"/>
      <w:r>
        <w:rPr/>
        <w:t>Figura 9.14 - RFI Inserimento barriere tracciato comuni di Assemini ed Elmas</w:t>
      </w:r>
      <w:bookmarkEnd w:id="74"/>
      <w:bookmarkEnd w:id="75"/>
    </w:p>
    <w:p>
      <w:pPr>
        <w:pStyle w:val="Heading2"/>
        <w:numPr>
          <w:ilvl w:val="1"/>
          <w:numId w:val="254"/>
        </w:numPr>
        <w:rPr/>
      </w:pPr>
      <w:bookmarkStart w:id="76" w:name="__RefHeading__27_468148522"/>
      <w:bookmarkStart w:id="77" w:name="_Toc178778191"/>
      <w:bookmarkEnd w:id="76"/>
      <w:r>
        <w:rPr>
          <w:rFonts w:cs="Arial" w:ascii="Arial" w:hAnsi="Arial"/>
          <w:sz w:val="20"/>
          <w:szCs w:val="20"/>
        </w:rPr>
        <w:t>Piani di risanamento acustico delle infrastrutture aeroportuali</w:t>
      </w:r>
      <w:bookmarkEnd w:id="77"/>
    </w:p>
    <w:p>
      <w:pPr>
        <w:pStyle w:val="StandardWW"/>
        <w:spacing w:lineRule="auto" w:line="240"/>
        <w:rPr/>
      </w:pPr>
      <w:r>
        <w:rPr/>
      </w:r>
    </w:p>
    <w:p>
      <w:pPr>
        <w:pStyle w:val="Heading4"/>
        <w:numPr>
          <w:ilvl w:val="3"/>
          <w:numId w:val="255"/>
        </w:numPr>
        <w:rPr/>
      </w:pPr>
      <w:bookmarkStart w:id="78" w:name="__RefHeading___Toc32636_1780681430"/>
      <w:bookmarkEnd w:id="78"/>
      <w:r>
        <w:rPr>
          <w:rFonts w:cs="Arial" w:ascii="Arial" w:hAnsi="Arial"/>
          <w:sz w:val="20"/>
          <w:szCs w:val="20"/>
        </w:rPr>
        <w:t>Aeroporto Cagliari-Elmas “M.Mameli” – So.G.Aer S.p.A.</w:t>
      </w:r>
    </w:p>
    <w:p>
      <w:pPr>
        <w:pStyle w:val="StandardWW"/>
        <w:spacing w:lineRule="auto" w:line="240"/>
        <w:rPr/>
      </w:pPr>
      <w:r>
        <w:rPr/>
      </w:r>
    </w:p>
    <w:p>
      <w:pPr>
        <w:pStyle w:val="StandardWW"/>
        <w:spacing w:lineRule="auto" w:line="240"/>
        <w:rPr/>
      </w:pPr>
      <w:r>
        <w:rPr>
          <w:color w:val="000000"/>
        </w:rPr>
        <w:t>L’infrastruttura aeroportuale di Cagliari–Elmas, gestita dalla Sogaer è inserita nel contesto territoriale dell’Agglomerato urbano di Cagliari come definito dalla RAS.</w:t>
      </w:r>
    </w:p>
    <w:p>
      <w:pPr>
        <w:pStyle w:val="StandardWW"/>
        <w:spacing w:lineRule="auto" w:line="240"/>
        <w:rPr>
          <w:color w:val="000000"/>
        </w:rPr>
      </w:pPr>
      <w:r>
        <w:rPr>
          <w:color w:val="000000"/>
        </w:rPr>
      </w:r>
    </w:p>
    <w:p>
      <w:pPr>
        <w:pStyle w:val="Caption11"/>
        <w:spacing w:lineRule="auto" w:line="240"/>
        <w:rPr/>
      </w:pPr>
      <w:r>
        <w:rPr/>
        <w:drawing>
          <wp:inline distT="0" distB="0" distL="0" distR="0">
            <wp:extent cx="6120130" cy="4310380"/>
            <wp:effectExtent l="0" t="0" r="0" b="0"/>
            <wp:docPr id="14" name="Immagine15"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15" descr="Immagine che contiene mappa, testo, atlante&#10;&#10;Descrizione generata automaticamente"/>
                    <pic:cNvPicPr>
                      <a:picLocks noChangeAspect="1" noChangeArrowheads="1"/>
                    </pic:cNvPicPr>
                  </pic:nvPicPr>
                  <pic:blipFill>
                    <a:blip r:embed="rId18"/>
                    <a:stretch>
                      <a:fillRect/>
                    </a:stretch>
                  </pic:blipFill>
                  <pic:spPr bwMode="auto">
                    <a:xfrm>
                      <a:off x="0" y="0"/>
                      <a:ext cx="6120130" cy="4310380"/>
                    </a:xfrm>
                    <a:prstGeom prst="rect">
                      <a:avLst/>
                    </a:prstGeom>
                  </pic:spPr>
                </pic:pic>
              </a:graphicData>
            </a:graphic>
          </wp:inline>
        </w:drawing>
      </w:r>
    </w:p>
    <w:p>
      <w:pPr>
        <w:pStyle w:val="FigureTabelle"/>
        <w:rPr/>
      </w:pPr>
      <w:bookmarkStart w:id="79" w:name="_Toc171964364"/>
      <w:bookmarkStart w:id="80" w:name="_Toc171894442"/>
      <w:r>
        <w:rPr>
          <w:rFonts w:cs="Arial" w:ascii="Arial" w:hAnsi="Arial"/>
          <w:szCs w:val="20"/>
        </w:rPr>
        <w:t xml:space="preserve">Figura 9.15 - </w:t>
      </w:r>
      <w:r>
        <w:rPr>
          <w:rFonts w:cs="Arial" w:ascii="Arial" w:hAnsi="Arial"/>
          <w:w w:val="90"/>
          <w:szCs w:val="20"/>
        </w:rPr>
        <w:t>Inserimento dell’infrastruttura aeroportuale di Cagliari – Elmas nel contesto territoriale dell’Agglomerato di Cagliari</w:t>
      </w:r>
      <w:bookmarkEnd w:id="79"/>
      <w:bookmarkEnd w:id="80"/>
    </w:p>
    <w:p>
      <w:pPr>
        <w:pStyle w:val="StandardWW"/>
        <w:spacing w:lineRule="auto" w:line="240"/>
        <w:rPr>
          <w:color w:val="000000"/>
        </w:rPr>
      </w:pPr>
      <w:r>
        <w:rPr>
          <w:color w:val="000000"/>
        </w:rPr>
      </w:r>
    </w:p>
    <w:p>
      <w:pPr>
        <w:pStyle w:val="StandardWW"/>
        <w:spacing w:lineRule="auto" w:line="240"/>
        <w:rPr/>
      </w:pPr>
      <w:r>
        <w:rPr>
          <w:color w:val="000000"/>
        </w:rPr>
        <w:t>(Fonte:</w:t>
      </w:r>
      <w:r>
        <w:rPr>
          <w:i/>
          <w:iCs/>
          <w:color w:val="000000"/>
        </w:rPr>
        <w:t xml:space="preserve"> sito web www.sogaer.it, bilancio di esercizio e consolidato 2016, analisi statistiche traffico 2017, regolamento di scalo 2012)</w:t>
      </w:r>
    </w:p>
    <w:p>
      <w:pPr>
        <w:pStyle w:val="Caption11"/>
        <w:rPr/>
      </w:pPr>
      <w:bookmarkStart w:id="81" w:name="_Toc171964394"/>
      <w:r>
        <w:rPr/>
        <w:t>Tabella 9.14 – Aeroporto</w:t>
      </w:r>
      <w:bookmarkEnd w:id="81"/>
    </w:p>
    <w:p>
      <w:pPr>
        <w:pStyle w:val="FigureTabelle"/>
        <w:rPr/>
      </w:pPr>
      <w:r>
        <w:rPr/>
        <w:drawing>
          <wp:inline distT="0" distB="0" distL="0" distR="0">
            <wp:extent cx="5382260" cy="2102485"/>
            <wp:effectExtent l="0" t="0" r="0" b="0"/>
            <wp:docPr id="15" name="Immagin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16" descr=""/>
                    <pic:cNvPicPr>
                      <a:picLocks noChangeAspect="1" noChangeArrowheads="1"/>
                    </pic:cNvPicPr>
                  </pic:nvPicPr>
                  <pic:blipFill>
                    <a:blip r:embed="rId19"/>
                    <a:srcRect l="3081" t="4017" r="4014" b="0"/>
                    <a:stretch>
                      <a:fillRect/>
                    </a:stretch>
                  </pic:blipFill>
                  <pic:spPr bwMode="auto">
                    <a:xfrm>
                      <a:off x="0" y="0"/>
                      <a:ext cx="5382260" cy="2102485"/>
                    </a:xfrm>
                    <a:prstGeom prst="rect">
                      <a:avLst/>
                    </a:prstGeom>
                  </pic:spPr>
                </pic:pic>
              </a:graphicData>
            </a:graphic>
          </wp:inline>
        </w:drawing>
      </w:r>
    </w:p>
    <w:p>
      <w:pPr>
        <w:pStyle w:val="NormaleCorpo"/>
        <w:rPr/>
      </w:pPr>
      <w:r>
        <w:rPr>
          <w:rFonts w:cs="Arial" w:ascii="Arial" w:hAnsi="Arial"/>
          <w:sz w:val="20"/>
          <w:szCs w:val="20"/>
        </w:rPr>
        <w:t>Nel 2016 e 2017 l’infrastruttura si è collocata al 14° posto nazionale per quanto riguarda sia il numero di movimenti aerei commerciali che per il numero di passeggeri trasportati.</w:t>
      </w:r>
    </w:p>
    <w:p>
      <w:pPr>
        <w:pStyle w:val="StandardWW"/>
        <w:spacing w:lineRule="auto" w:line="240"/>
        <w:rPr>
          <w:color w:val="000000"/>
        </w:rPr>
      </w:pPr>
      <w:r>
        <w:rPr>
          <w:color w:val="000000"/>
        </w:rPr>
      </w:r>
    </w:p>
    <w:p>
      <w:pPr>
        <w:pStyle w:val="Caption11"/>
        <w:rPr/>
      </w:pPr>
      <w:bookmarkStart w:id="82" w:name="_Toc171964395"/>
      <w:r>
        <w:rPr/>
        <w:t>Tabella 9.</w:t>
      </w:r>
      <w:bookmarkEnd w:id="82"/>
      <w:r>
        <w:rPr/>
        <w:t>15</w:t>
      </w:r>
    </w:p>
    <w:tbl>
      <w:tblPr>
        <w:tblW w:w="9354" w:type="dxa"/>
        <w:jc w:val="center"/>
        <w:tblInd w:w="0" w:type="dxa"/>
        <w:tblLayout w:type="fixed"/>
        <w:tblCellMar>
          <w:top w:w="57" w:type="dxa"/>
          <w:left w:w="57" w:type="dxa"/>
          <w:bottom w:w="57" w:type="dxa"/>
          <w:right w:w="57" w:type="dxa"/>
        </w:tblCellMar>
        <w:tblLook w:firstRow="0" w:noVBand="0" w:lastRow="0" w:firstColumn="0" w:lastColumn="0" w:noHBand="0" w:val="0000"/>
      </w:tblPr>
      <w:tblGrid>
        <w:gridCol w:w="4323"/>
        <w:gridCol w:w="1961"/>
        <w:gridCol w:w="1234"/>
        <w:gridCol w:w="1835"/>
      </w:tblGrid>
      <w:tr>
        <w:trPr>
          <w:trHeight w:val="300" w:hRule="atLeast"/>
        </w:trPr>
        <w:tc>
          <w:tcPr>
            <w:tcW w:w="4323" w:type="dxa"/>
            <w:vMerge w:val="restart"/>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b/>
                <w:bCs/>
                <w:color w:val="000000"/>
              </w:rPr>
              <w:t>Voli traffico commerciale totali</w:t>
            </w:r>
          </w:p>
        </w:tc>
        <w:tc>
          <w:tcPr>
            <w:tcW w:w="1961"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b/>
                <w:bCs/>
                <w:color w:val="000000"/>
              </w:rPr>
              <w:t>2015</w:t>
            </w:r>
          </w:p>
        </w:tc>
        <w:tc>
          <w:tcPr>
            <w:tcW w:w="1234" w:type="dxa"/>
            <w:tcBorders>
              <w:top w:val="single" w:sz="4" w:space="0" w:color="000000"/>
              <w:left w:val="single" w:sz="4" w:space="0" w:color="000000"/>
              <w:bottom w:val="single" w:sz="4" w:space="0" w:color="000000"/>
            </w:tcBorders>
            <w:shd w:color="auto" w:fill="auto" w:val="clear"/>
            <w:vAlign w:val="center"/>
          </w:tcPr>
          <w:p>
            <w:pPr>
              <w:pStyle w:val="StandardWW"/>
              <w:spacing w:lineRule="auto" w:line="240"/>
              <w:rPr/>
            </w:pPr>
            <w:r>
              <w:rPr>
                <w:b/>
                <w:bCs/>
                <w:color w:val="000000"/>
              </w:rPr>
              <w:t>2016</w:t>
            </w:r>
          </w:p>
        </w:tc>
        <w:tc>
          <w:tcPr>
            <w:tcW w:w="183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b/>
                <w:bCs/>
                <w:color w:val="000000"/>
              </w:rPr>
              <w:t>2017</w:t>
            </w:r>
          </w:p>
        </w:tc>
      </w:tr>
      <w:tr>
        <w:trPr>
          <w:trHeight w:val="300" w:hRule="atLeast"/>
        </w:trPr>
        <w:tc>
          <w:tcPr>
            <w:tcW w:w="4323" w:type="dxa"/>
            <w:vMerge w:val="continue"/>
            <w:tcBorders>
              <w:top w:val="single" w:sz="4" w:space="0" w:color="000000"/>
              <w:left w:val="single" w:sz="4" w:space="0" w:color="000000"/>
              <w:bottom w:val="single" w:sz="4" w:space="0" w:color="000000"/>
            </w:tcBorders>
            <w:shd w:color="auto" w:fill="auto" w:val="clear"/>
            <w:vAlign w:val="center"/>
          </w:tcPr>
          <w:p>
            <w:pPr>
              <w:pStyle w:val="Normal"/>
              <w:rPr/>
            </w:pPr>
            <w:r>
              <w:rPr/>
            </w:r>
          </w:p>
        </w:tc>
        <w:tc>
          <w:tcPr>
            <w:tcW w:w="1961" w:type="dxa"/>
            <w:tcBorders>
              <w:left w:val="single" w:sz="4" w:space="0" w:color="000000"/>
              <w:bottom w:val="single" w:sz="4" w:space="0" w:color="000000"/>
            </w:tcBorders>
            <w:shd w:color="auto" w:fill="auto" w:val="clear"/>
            <w:vAlign w:val="center"/>
          </w:tcPr>
          <w:p>
            <w:pPr>
              <w:pStyle w:val="StandardWW"/>
              <w:spacing w:lineRule="auto" w:line="240"/>
              <w:rPr/>
            </w:pPr>
            <w:r>
              <w:rPr>
                <w:color w:val="000000"/>
              </w:rPr>
              <w:t>28.318</w:t>
            </w:r>
          </w:p>
        </w:tc>
        <w:tc>
          <w:tcPr>
            <w:tcW w:w="1234" w:type="dxa"/>
            <w:tcBorders>
              <w:left w:val="single" w:sz="4" w:space="0" w:color="000000"/>
              <w:bottom w:val="single" w:sz="4" w:space="0" w:color="000000"/>
            </w:tcBorders>
            <w:shd w:color="auto" w:fill="auto" w:val="clear"/>
            <w:vAlign w:val="center"/>
          </w:tcPr>
          <w:p>
            <w:pPr>
              <w:pStyle w:val="StandardWW"/>
              <w:spacing w:lineRule="auto" w:line="240"/>
              <w:rPr/>
            </w:pPr>
            <w:r>
              <w:rPr>
                <w:color w:val="000000"/>
              </w:rPr>
              <w:t>28.509</w:t>
            </w:r>
          </w:p>
        </w:tc>
        <w:tc>
          <w:tcPr>
            <w:tcW w:w="1835" w:type="dxa"/>
            <w:tcBorders>
              <w:left w:val="single" w:sz="4" w:space="0" w:color="000000"/>
              <w:bottom w:val="single" w:sz="4" w:space="0" w:color="000000"/>
              <w:right w:val="single" w:sz="4" w:space="0" w:color="000000"/>
            </w:tcBorders>
            <w:shd w:color="auto" w:fill="auto" w:val="clear"/>
            <w:vAlign w:val="center"/>
          </w:tcPr>
          <w:p>
            <w:pPr>
              <w:pStyle w:val="StandardWW"/>
              <w:spacing w:lineRule="auto" w:line="240"/>
              <w:rPr/>
            </w:pPr>
            <w:r>
              <w:rPr>
                <w:color w:val="000000"/>
              </w:rPr>
              <w:t>31.351</w:t>
            </w:r>
          </w:p>
        </w:tc>
      </w:tr>
    </w:tbl>
    <w:p>
      <w:pPr>
        <w:pStyle w:val="StandardWW"/>
        <w:spacing w:lineRule="auto" w:line="240"/>
        <w:rPr>
          <w:color w:val="000000"/>
        </w:rPr>
      </w:pPr>
      <w:r>
        <w:rPr>
          <w:color w:val="000000"/>
        </w:rPr>
      </w:r>
    </w:p>
    <w:p>
      <w:pPr>
        <w:pStyle w:val="StandardWW"/>
        <w:spacing w:lineRule="auto" w:line="240"/>
        <w:rPr>
          <w:color w:val="000000"/>
        </w:rPr>
      </w:pPr>
      <w:r>
        <w:rPr>
          <w:color w:val="000000"/>
        </w:rPr>
        <w:t>I risultati della mappatura acustica sono rielaborazioni derivate dalle curve isofoniche prodotte nel contesto della commissione aeroportuale (D.M. 31/10/1997), di rilievi ARPAS e ridefinite in termini di Lden e Lnight (parametri richiesti dal D.Lgs. 194/2005):</w:t>
      </w:r>
    </w:p>
    <w:p>
      <w:pPr>
        <w:pStyle w:val="StandardWW"/>
        <w:spacing w:lineRule="auto" w:line="240"/>
        <w:rPr>
          <w:color w:val="000000"/>
        </w:rPr>
      </w:pPr>
      <w:r>
        <w:rPr>
          <w:color w:val="000000"/>
        </w:rPr>
      </w:r>
    </w:p>
    <w:p>
      <w:pPr>
        <w:pStyle w:val="FigureTabelle"/>
        <w:rPr/>
      </w:pPr>
      <w:bookmarkStart w:id="83" w:name="_Toc171964396"/>
      <w:r>
        <w:rPr>
          <w:rFonts w:cs="Arial" w:ascii="Arial" w:hAnsi="Arial"/>
          <w:szCs w:val="20"/>
        </w:rPr>
        <w:t>Tabella 9.</w:t>
      </w:r>
      <w:bookmarkEnd w:id="83"/>
      <w:r>
        <w:rPr>
          <w:rFonts w:cs="Arial" w:ascii="Arial" w:hAnsi="Arial"/>
          <w:szCs w:val="20"/>
        </w:rPr>
        <w:t>16</w:t>
      </w:r>
    </w:p>
    <w:tbl>
      <w:tblPr>
        <w:tblW w:w="7145" w:type="dxa"/>
        <w:jc w:val="center"/>
        <w:tblInd w:w="0" w:type="dxa"/>
        <w:tblLayout w:type="fixed"/>
        <w:tblCellMar>
          <w:top w:w="55" w:type="dxa"/>
          <w:left w:w="55" w:type="dxa"/>
          <w:bottom w:w="55" w:type="dxa"/>
          <w:right w:w="55" w:type="dxa"/>
        </w:tblCellMar>
        <w:tblLook w:firstRow="0" w:noVBand="0" w:lastRow="0" w:firstColumn="0" w:lastColumn="0" w:noHBand="0" w:val="0000"/>
      </w:tblPr>
      <w:tblGrid>
        <w:gridCol w:w="1168"/>
        <w:gridCol w:w="1169"/>
        <w:gridCol w:w="1171"/>
        <w:gridCol w:w="1169"/>
        <w:gridCol w:w="1169"/>
        <w:gridCol w:w="1298"/>
      </w:tblGrid>
      <w:tr>
        <w:trPr/>
        <w:tc>
          <w:tcPr>
            <w:tcW w:w="5846" w:type="dxa"/>
            <w:gridSpan w:val="5"/>
            <w:tcBorders>
              <w:top w:val="single" w:sz="2" w:space="0" w:color="000000"/>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Numero di persone esposte a livelli di Lden dB(A)</w:t>
            </w:r>
          </w:p>
        </w:tc>
        <w:tc>
          <w:tcPr>
            <w:tcW w:w="1298" w:type="dxa"/>
            <w:vMerge w:val="restart"/>
            <w:tcBorders>
              <w:top w:val="single" w:sz="2" w:space="0" w:color="000000"/>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t>Totale</w:t>
            </w:r>
          </w:p>
        </w:tc>
      </w:tr>
      <w:tr>
        <w:trPr/>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55-59</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60-64</w:t>
            </w:r>
          </w:p>
        </w:tc>
        <w:tc>
          <w:tcPr>
            <w:tcW w:w="1171"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65-69</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70-74</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&gt;75</w:t>
            </w:r>
          </w:p>
        </w:tc>
        <w:tc>
          <w:tcPr>
            <w:tcW w:w="1298" w:type="dxa"/>
            <w:vMerge w:val="continue"/>
            <w:tcBorders>
              <w:top w:val="single" w:sz="2" w:space="0" w:color="000000"/>
              <w:left w:val="single" w:sz="2" w:space="0" w:color="000000"/>
              <w:bottom w:val="single" w:sz="2" w:space="0" w:color="000000"/>
              <w:right w:val="single" w:sz="2" w:space="0" w:color="000000"/>
            </w:tcBorders>
            <w:vAlign w:val="center"/>
          </w:tcPr>
          <w:p>
            <w:pPr>
              <w:pStyle w:val="Normal"/>
              <w:rPr/>
            </w:pPr>
            <w:r>
              <w:rPr/>
            </w:r>
          </w:p>
        </w:tc>
      </w:tr>
      <w:tr>
        <w:trPr/>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21.299</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1.067</w:t>
            </w:r>
          </w:p>
        </w:tc>
        <w:tc>
          <w:tcPr>
            <w:tcW w:w="1171"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219</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0</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0</w:t>
            </w:r>
          </w:p>
        </w:tc>
        <w:tc>
          <w:tcPr>
            <w:tcW w:w="1298"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t>22.585</w:t>
            </w:r>
          </w:p>
        </w:tc>
      </w:tr>
      <w:tr>
        <w:trPr/>
        <w:tc>
          <w:tcPr>
            <w:tcW w:w="5846" w:type="dxa"/>
            <w:gridSpan w:val="5"/>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Numero di persone esposte a livelli di Lnight dB(A)</w:t>
            </w:r>
          </w:p>
        </w:tc>
        <w:tc>
          <w:tcPr>
            <w:tcW w:w="1298" w:type="dxa"/>
            <w:vMerge w:val="restart"/>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t>Totale</w:t>
            </w:r>
          </w:p>
        </w:tc>
      </w:tr>
      <w:tr>
        <w:trPr/>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50-54</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55-59</w:t>
            </w:r>
          </w:p>
        </w:tc>
        <w:tc>
          <w:tcPr>
            <w:tcW w:w="1171"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60-64</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65-69</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b/>
                <w:bCs/>
              </w:rPr>
              <w:t>&gt;70</w:t>
            </w:r>
          </w:p>
        </w:tc>
        <w:tc>
          <w:tcPr>
            <w:tcW w:w="1298" w:type="dxa"/>
            <w:vMerge w:val="continue"/>
            <w:tcBorders>
              <w:left w:val="single" w:sz="2" w:space="0" w:color="000000"/>
              <w:bottom w:val="single" w:sz="2" w:space="0" w:color="000000"/>
              <w:right w:val="single" w:sz="2" w:space="0" w:color="000000"/>
            </w:tcBorders>
            <w:vAlign w:val="center"/>
          </w:tcPr>
          <w:p>
            <w:pPr>
              <w:pStyle w:val="Normal"/>
              <w:rPr/>
            </w:pPr>
            <w:r>
              <w:rPr/>
            </w:r>
          </w:p>
        </w:tc>
      </w:tr>
      <w:tr>
        <w:trPr/>
        <w:tc>
          <w:tcPr>
            <w:tcW w:w="1168"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2.201</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227</w:t>
            </w:r>
          </w:p>
        </w:tc>
        <w:tc>
          <w:tcPr>
            <w:tcW w:w="1171"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2</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0</w:t>
            </w:r>
          </w:p>
        </w:tc>
        <w:tc>
          <w:tcPr>
            <w:tcW w:w="1169" w:type="dxa"/>
            <w:tcBorders>
              <w:left w:val="single" w:sz="2" w:space="0" w:color="000000"/>
              <w:bottom w:val="single" w:sz="2" w:space="0" w:color="000000"/>
            </w:tcBorders>
            <w:vAlign w:val="center"/>
          </w:tcPr>
          <w:p>
            <w:pPr>
              <w:pStyle w:val="Contenutotabella"/>
              <w:widowControl/>
              <w:suppressLineNumbers/>
              <w:spacing w:lineRule="atLeast" w:line="300" w:before="120" w:after="120"/>
              <w:jc w:val="both"/>
              <w:textAlignment w:val="auto"/>
              <w:rPr/>
            </w:pPr>
            <w:r>
              <w:rPr/>
              <w:t>0</w:t>
            </w:r>
          </w:p>
        </w:tc>
        <w:tc>
          <w:tcPr>
            <w:tcW w:w="1298" w:type="dxa"/>
            <w:tcBorders>
              <w:left w:val="single" w:sz="2" w:space="0" w:color="000000"/>
              <w:bottom w:val="single" w:sz="2" w:space="0" w:color="000000"/>
              <w:right w:val="single" w:sz="2" w:space="0" w:color="000000"/>
            </w:tcBorders>
            <w:vAlign w:val="center"/>
          </w:tcPr>
          <w:p>
            <w:pPr>
              <w:pStyle w:val="Contenutotabella"/>
              <w:widowControl/>
              <w:suppressLineNumbers/>
              <w:spacing w:lineRule="atLeast" w:line="300" w:before="120" w:after="120"/>
              <w:jc w:val="both"/>
              <w:textAlignment w:val="auto"/>
              <w:rPr/>
            </w:pPr>
            <w:r>
              <w:rPr/>
              <w:t>2.430</w:t>
            </w:r>
          </w:p>
        </w:tc>
      </w:tr>
    </w:tbl>
    <w:p>
      <w:pPr>
        <w:pStyle w:val="StandardWW"/>
        <w:spacing w:lineRule="auto" w:line="240"/>
        <w:rPr>
          <w:color w:val="000000"/>
        </w:rPr>
      </w:pPr>
      <w:r>
        <w:rPr>
          <w:color w:val="000000"/>
        </w:rPr>
      </w:r>
    </w:p>
    <w:p>
      <w:pPr>
        <w:pStyle w:val="Heading4"/>
        <w:numPr>
          <w:ilvl w:val="3"/>
          <w:numId w:val="256"/>
        </w:numPr>
        <w:rPr/>
      </w:pPr>
      <w:r>
        <w:rPr>
          <w:rFonts w:cs="Arial" w:ascii="Arial" w:hAnsi="Arial"/>
          <w:sz w:val="20"/>
          <w:szCs w:val="20"/>
        </w:rPr>
        <w:t>Situazione relativa all’inquinamento acustico</w:t>
      </w:r>
    </w:p>
    <w:p>
      <w:pPr>
        <w:pStyle w:val="StandardWW"/>
        <w:spacing w:lineRule="auto" w:line="240"/>
        <w:rPr/>
      </w:pPr>
      <w:r>
        <w:rPr/>
      </w:r>
    </w:p>
    <w:p>
      <w:pPr>
        <w:pStyle w:val="NormaleCorpo"/>
        <w:rPr/>
      </w:pPr>
      <w:r>
        <w:rPr>
          <w:rFonts w:cs="Arial" w:ascii="Arial" w:hAnsi="Arial"/>
          <w:sz w:val="20"/>
          <w:szCs w:val="20"/>
        </w:rPr>
        <w:t>Nel corso del 2017 la Sogaer ha implementato una rete di rilevamento del rumore costituta da n. 4 centraline fisse più una rilocabile. Il costo dell’intervento si è attestato a circa 150.000 Euro.</w:t>
      </w:r>
    </w:p>
    <w:p>
      <w:pPr>
        <w:pStyle w:val="NormaleCorpo"/>
        <w:rPr/>
      </w:pPr>
      <w:r>
        <w:rPr>
          <w:rFonts w:cs="Arial" w:ascii="Arial" w:hAnsi="Arial"/>
          <w:sz w:val="20"/>
          <w:szCs w:val="20"/>
        </w:rPr>
        <w:t>Sono dotate di strumentazione fonometrica, certificata secondo tutte le normative in materia, che trasmette i rilievi ad un centro elaborazione dati nel quale, sia con procedure automatiche - sistema denominato SARA - che con operatore vengono validate le misure e correlate con gli eventi aeroportuali.</w:t>
      </w:r>
    </w:p>
    <w:p>
      <w:pPr>
        <w:pStyle w:val="NormaleCorpo"/>
        <w:rPr/>
      </w:pPr>
      <w:r>
        <w:rPr>
          <w:rFonts w:cs="Arial" w:ascii="Arial" w:hAnsi="Arial"/>
          <w:sz w:val="20"/>
          <w:szCs w:val="20"/>
        </w:rPr>
        <w:t>Attualmente la rete ha il solo scopo di monitoraggio acustico e non viene impiegata per i processi sanzionatori di violazione alle procedure anti-rumore ancora non attive in aeroporto.</w:t>
      </w:r>
    </w:p>
    <w:p>
      <w:pPr>
        <w:pStyle w:val="StandardWW"/>
        <w:spacing w:lineRule="auto" w:line="240"/>
        <w:rPr/>
      </w:pPr>
      <w:r>
        <w:rPr/>
      </w:r>
    </w:p>
    <w:p>
      <w:pPr>
        <w:pStyle w:val="FigureTabelle"/>
        <w:rPr/>
      </w:pPr>
      <w:r>
        <w:rPr/>
        <w:drawing>
          <wp:inline distT="0" distB="0" distL="0" distR="0">
            <wp:extent cx="5940425" cy="3678555"/>
            <wp:effectExtent l="0" t="0" r="0" b="0"/>
            <wp:docPr id="16" name="Immagin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17" descr=""/>
                    <pic:cNvPicPr>
                      <a:picLocks noChangeAspect="1" noChangeArrowheads="1"/>
                    </pic:cNvPicPr>
                  </pic:nvPicPr>
                  <pic:blipFill>
                    <a:blip r:embed="rId20"/>
                    <a:stretch>
                      <a:fillRect/>
                    </a:stretch>
                  </pic:blipFill>
                  <pic:spPr bwMode="auto">
                    <a:xfrm>
                      <a:off x="0" y="0"/>
                      <a:ext cx="5940425" cy="3678555"/>
                    </a:xfrm>
                    <a:prstGeom prst="rect">
                      <a:avLst/>
                    </a:prstGeom>
                  </pic:spPr>
                </pic:pic>
              </a:graphicData>
            </a:graphic>
          </wp:inline>
        </w:drawing>
      </w:r>
    </w:p>
    <w:p>
      <w:pPr>
        <w:pStyle w:val="FigureTabelle"/>
        <w:rPr/>
      </w:pPr>
      <w:bookmarkStart w:id="84" w:name="_Toc171964365"/>
      <w:bookmarkStart w:id="85" w:name="_Toc171894443"/>
      <w:r>
        <w:rPr>
          <w:rFonts w:cs="Arial" w:ascii="Arial" w:hAnsi="Arial"/>
          <w:szCs w:val="20"/>
        </w:rPr>
        <w:t>Figura 9.16 - Quadro d'insieme posizione delle centraline di rilevamento sistema SARA</w:t>
      </w:r>
      <w:bookmarkEnd w:id="84"/>
      <w:bookmarkEnd w:id="85"/>
    </w:p>
    <w:p>
      <w:pPr>
        <w:pStyle w:val="StandardWW"/>
        <w:spacing w:lineRule="auto" w:line="240"/>
        <w:rPr/>
      </w:pPr>
      <w:r>
        <w:rPr/>
      </w:r>
    </w:p>
    <w:p>
      <w:pPr>
        <w:pStyle w:val="FigureTabelle"/>
        <w:rPr/>
      </w:pPr>
      <w:r>
        <w:rPr/>
        <w:drawing>
          <wp:inline distT="0" distB="0" distL="0" distR="0">
            <wp:extent cx="5940425" cy="3644900"/>
            <wp:effectExtent l="0" t="0" r="0" b="0"/>
            <wp:docPr id="17" name="Immagine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18" descr=""/>
                    <pic:cNvPicPr>
                      <a:picLocks noChangeAspect="1" noChangeArrowheads="1"/>
                    </pic:cNvPicPr>
                  </pic:nvPicPr>
                  <pic:blipFill>
                    <a:blip r:embed="rId21"/>
                    <a:stretch>
                      <a:fillRect/>
                    </a:stretch>
                  </pic:blipFill>
                  <pic:spPr bwMode="auto">
                    <a:xfrm>
                      <a:off x="0" y="0"/>
                      <a:ext cx="5940425" cy="3644900"/>
                    </a:xfrm>
                    <a:prstGeom prst="rect">
                      <a:avLst/>
                    </a:prstGeom>
                  </pic:spPr>
                </pic:pic>
              </a:graphicData>
            </a:graphic>
          </wp:inline>
        </w:drawing>
      </w:r>
    </w:p>
    <w:p>
      <w:pPr>
        <w:pStyle w:val="FigureTabelle"/>
        <w:rPr/>
      </w:pPr>
      <w:bookmarkStart w:id="86" w:name="_Toc171964366"/>
      <w:bookmarkStart w:id="87" w:name="_Toc171894444"/>
      <w:r>
        <w:rPr>
          <w:rFonts w:cs="Arial" w:ascii="Arial" w:hAnsi="Arial"/>
          <w:szCs w:val="20"/>
        </w:rPr>
        <w:t>Figura 9.17 Dettaglio posizione delle centraline di rilevamento sistema SARA</w:t>
      </w:r>
      <w:bookmarkEnd w:id="86"/>
      <w:bookmarkEnd w:id="87"/>
    </w:p>
    <w:p>
      <w:pPr>
        <w:pStyle w:val="StandardWW"/>
        <w:spacing w:lineRule="auto" w:line="240"/>
        <w:rPr/>
      </w:pPr>
      <w:r>
        <w:rPr/>
      </w:r>
    </w:p>
    <w:p>
      <w:pPr>
        <w:pStyle w:val="StandardWW"/>
        <w:spacing w:lineRule="auto" w:line="240"/>
        <w:rPr/>
      </w:pPr>
      <w:r>
        <w:rPr/>
        <w:t>Di seguito si riporta la caratterizzazione acustica più recente descritta dal Livello di Valutazione Aeroportuale LVA, parametro individuato dalla normativa italiana D.M. 31/10/1997, rilevata dalle quattro centraline di gestione Sogaer.</w:t>
      </w:r>
    </w:p>
    <w:p>
      <w:pPr>
        <w:pStyle w:val="StandardWW"/>
        <w:spacing w:lineRule="auto" w:line="240"/>
        <w:rPr/>
      </w:pPr>
      <w:r>
        <w:rPr/>
      </w:r>
    </w:p>
    <w:p>
      <w:pPr>
        <w:pStyle w:val="FigureTabelle"/>
        <w:rPr/>
      </w:pPr>
      <w:bookmarkStart w:id="88" w:name="_Toc171964397"/>
      <w:r>
        <w:rPr>
          <w:rFonts w:cs="Arial" w:ascii="Arial" w:hAnsi="Arial"/>
          <w:szCs w:val="20"/>
        </w:rPr>
        <w:t>Tabella 9.</w:t>
      </w:r>
      <w:bookmarkEnd w:id="88"/>
      <w:r>
        <w:rPr>
          <w:rFonts w:cs="Arial" w:ascii="Arial" w:hAnsi="Arial"/>
          <w:szCs w:val="20"/>
        </w:rPr>
        <w:t>17</w:t>
      </w:r>
    </w:p>
    <w:tbl>
      <w:tblPr>
        <w:tblW w:w="9354" w:type="dxa"/>
        <w:jc w:val="center"/>
        <w:tblInd w:w="0" w:type="dxa"/>
        <w:tblLayout w:type="fixed"/>
        <w:tblCellMar>
          <w:top w:w="57" w:type="dxa"/>
          <w:left w:w="57" w:type="dxa"/>
          <w:bottom w:w="57" w:type="dxa"/>
          <w:right w:w="57" w:type="dxa"/>
        </w:tblCellMar>
        <w:tblLook w:firstRow="0" w:noVBand="0" w:lastRow="0" w:firstColumn="0" w:lastColumn="0" w:noHBand="0" w:val="0000"/>
      </w:tblPr>
      <w:tblGrid>
        <w:gridCol w:w="2620"/>
        <w:gridCol w:w="6733"/>
      </w:tblGrid>
      <w:tr>
        <w:trPr>
          <w:trHeight w:val="510" w:hRule="atLeast"/>
        </w:trPr>
        <w:tc>
          <w:tcPr>
            <w:tcW w:w="2620" w:type="dxa"/>
            <w:vMerge w:val="restart"/>
            <w:tcBorders>
              <w:top w:val="single" w:sz="8" w:space="0" w:color="000000"/>
              <w:left w:val="single" w:sz="8" w:space="0" w:color="000000"/>
              <w:bottom w:val="single" w:sz="8" w:space="0" w:color="000000"/>
            </w:tcBorders>
            <w:shd w:color="auto" w:fill="auto" w:val="clear"/>
            <w:vAlign w:val="center"/>
          </w:tcPr>
          <w:p>
            <w:pPr>
              <w:pStyle w:val="StandardWW"/>
              <w:spacing w:lineRule="auto" w:line="240"/>
              <w:jc w:val="center"/>
              <w:rPr/>
            </w:pPr>
            <w:r>
              <w:rPr>
                <w:b/>
                <w:bCs/>
                <w:color w:val="000000"/>
              </w:rPr>
              <w:t>Postazione</w:t>
            </w:r>
          </w:p>
        </w:tc>
        <w:tc>
          <w:tcPr>
            <w:tcW w:w="6733" w:type="dxa"/>
            <w:tcBorders>
              <w:top w:val="single" w:sz="8" w:space="0" w:color="000000"/>
              <w:left w:val="single" w:sz="8" w:space="0" w:color="000000"/>
              <w:bottom w:val="single" w:sz="8" w:space="0" w:color="000000"/>
              <w:right w:val="single" w:sz="8" w:space="0" w:color="000000"/>
            </w:tcBorders>
            <w:shd w:color="auto" w:fill="auto" w:val="clear"/>
            <w:vAlign w:val="center"/>
          </w:tcPr>
          <w:p>
            <w:pPr>
              <w:pStyle w:val="StandardWW"/>
              <w:spacing w:lineRule="auto" w:line="240"/>
              <w:jc w:val="center"/>
              <w:rPr/>
            </w:pPr>
            <w:r>
              <w:rPr>
                <w:b/>
                <w:bCs/>
                <w:color w:val="000000"/>
              </w:rPr>
              <w:t>Valori rilevati</w:t>
            </w:r>
          </w:p>
          <w:p>
            <w:pPr>
              <w:pStyle w:val="StandardWW"/>
              <w:spacing w:lineRule="auto" w:line="240"/>
              <w:jc w:val="center"/>
              <w:rPr/>
            </w:pPr>
            <w:r>
              <w:rPr>
                <w:b/>
                <w:bCs/>
                <w:color w:val="000000"/>
              </w:rPr>
              <w:t>2017 settimana mese di agosto</w:t>
            </w:r>
          </w:p>
        </w:tc>
      </w:tr>
      <w:tr>
        <w:trPr>
          <w:trHeight w:val="300" w:hRule="atLeast"/>
        </w:trPr>
        <w:tc>
          <w:tcPr>
            <w:tcW w:w="2620" w:type="dxa"/>
            <w:vMerge w:val="continue"/>
            <w:tcBorders>
              <w:top w:val="single" w:sz="8" w:space="0" w:color="000000"/>
              <w:left w:val="single" w:sz="8" w:space="0" w:color="000000"/>
              <w:bottom w:val="single" w:sz="8" w:space="0" w:color="000000"/>
            </w:tcBorders>
            <w:shd w:color="auto" w:fill="auto" w:val="clear"/>
            <w:vAlign w:val="center"/>
          </w:tcPr>
          <w:p>
            <w:pPr>
              <w:pStyle w:val="Normal"/>
              <w:rPr/>
            </w:pPr>
            <w:r>
              <w:rPr/>
            </w:r>
          </w:p>
        </w:tc>
        <w:tc>
          <w:tcPr>
            <w:tcW w:w="6733" w:type="dxa"/>
            <w:tcBorders>
              <w:left w:val="single" w:sz="8" w:space="0" w:color="000000"/>
              <w:bottom w:val="single" w:sz="8" w:space="0" w:color="000000"/>
              <w:right w:val="single" w:sz="8" w:space="0" w:color="000000"/>
            </w:tcBorders>
            <w:shd w:color="auto" w:fill="auto" w:val="clear"/>
            <w:vAlign w:val="center"/>
          </w:tcPr>
          <w:p>
            <w:pPr>
              <w:pStyle w:val="StandardWW"/>
              <w:spacing w:lineRule="auto" w:line="240"/>
              <w:jc w:val="center"/>
              <w:rPr/>
            </w:pPr>
            <w:r>
              <w:rPr>
                <w:b/>
                <w:bCs/>
                <w:color w:val="000000"/>
              </w:rPr>
              <w:t>LVA in dB(A)</w:t>
            </w:r>
          </w:p>
        </w:tc>
      </w:tr>
      <w:tr>
        <w:trPr>
          <w:trHeight w:val="525" w:hRule="atLeast"/>
        </w:trPr>
        <w:tc>
          <w:tcPr>
            <w:tcW w:w="2620" w:type="dxa"/>
            <w:tcBorders>
              <w:left w:val="single" w:sz="8" w:space="0" w:color="000000"/>
              <w:bottom w:val="single" w:sz="8" w:space="0" w:color="000000"/>
            </w:tcBorders>
            <w:vAlign w:val="center"/>
          </w:tcPr>
          <w:p>
            <w:pPr>
              <w:pStyle w:val="StandardWW"/>
              <w:spacing w:lineRule="auto" w:line="240"/>
              <w:jc w:val="center"/>
              <w:rPr/>
            </w:pPr>
            <w:r>
              <w:rPr>
                <w:color w:val="000000"/>
              </w:rPr>
              <w:t>P2804 + centralina meteo</w:t>
            </w:r>
          </w:p>
        </w:tc>
        <w:tc>
          <w:tcPr>
            <w:tcW w:w="6733" w:type="dxa"/>
            <w:tcBorders>
              <w:left w:val="single" w:sz="8" w:space="0" w:color="000000"/>
              <w:bottom w:val="single" w:sz="8" w:space="0" w:color="000000"/>
              <w:right w:val="single" w:sz="8" w:space="0" w:color="000000"/>
            </w:tcBorders>
            <w:vAlign w:val="center"/>
          </w:tcPr>
          <w:p>
            <w:pPr>
              <w:pStyle w:val="StandardWW"/>
              <w:spacing w:lineRule="auto" w:line="240"/>
              <w:jc w:val="center"/>
              <w:rPr/>
            </w:pPr>
            <w:r>
              <w:rPr>
                <w:color w:val="000000"/>
              </w:rPr>
              <w:t>56,2</w:t>
            </w:r>
          </w:p>
        </w:tc>
      </w:tr>
      <w:tr>
        <w:trPr>
          <w:trHeight w:val="525" w:hRule="atLeast"/>
        </w:trPr>
        <w:tc>
          <w:tcPr>
            <w:tcW w:w="2620" w:type="dxa"/>
            <w:tcBorders>
              <w:left w:val="single" w:sz="8" w:space="0" w:color="000000"/>
              <w:bottom w:val="single" w:sz="8" w:space="0" w:color="000000"/>
            </w:tcBorders>
            <w:vAlign w:val="center"/>
          </w:tcPr>
          <w:p>
            <w:pPr>
              <w:pStyle w:val="StandardWW"/>
              <w:spacing w:lineRule="auto" w:line="240"/>
              <w:jc w:val="center"/>
              <w:rPr/>
            </w:pPr>
            <w:r>
              <w:rPr>
                <w:color w:val="000000"/>
              </w:rPr>
              <w:t>P2805 + centralina meteo</w:t>
            </w:r>
          </w:p>
        </w:tc>
        <w:tc>
          <w:tcPr>
            <w:tcW w:w="6733" w:type="dxa"/>
            <w:tcBorders>
              <w:left w:val="single" w:sz="8" w:space="0" w:color="000000"/>
              <w:bottom w:val="single" w:sz="8" w:space="0" w:color="000000"/>
              <w:right w:val="single" w:sz="8" w:space="0" w:color="000000"/>
            </w:tcBorders>
            <w:vAlign w:val="center"/>
          </w:tcPr>
          <w:p>
            <w:pPr>
              <w:pStyle w:val="StandardWW"/>
              <w:spacing w:lineRule="auto" w:line="240"/>
              <w:jc w:val="center"/>
              <w:rPr/>
            </w:pPr>
            <w:r>
              <w:rPr>
                <w:color w:val="000000"/>
              </w:rPr>
              <w:t>68,4</w:t>
            </w:r>
          </w:p>
        </w:tc>
      </w:tr>
      <w:tr>
        <w:trPr>
          <w:trHeight w:val="525" w:hRule="atLeast"/>
        </w:trPr>
        <w:tc>
          <w:tcPr>
            <w:tcW w:w="2620" w:type="dxa"/>
            <w:tcBorders>
              <w:left w:val="single" w:sz="8" w:space="0" w:color="000000"/>
              <w:bottom w:val="single" w:sz="8" w:space="0" w:color="000000"/>
            </w:tcBorders>
            <w:vAlign w:val="center"/>
          </w:tcPr>
          <w:p>
            <w:pPr>
              <w:pStyle w:val="StandardWW"/>
              <w:spacing w:lineRule="auto" w:line="240"/>
              <w:jc w:val="center"/>
              <w:rPr/>
            </w:pPr>
            <w:r>
              <w:rPr>
                <w:color w:val="000000"/>
              </w:rPr>
              <w:t>P2806</w:t>
            </w:r>
          </w:p>
        </w:tc>
        <w:tc>
          <w:tcPr>
            <w:tcW w:w="6733" w:type="dxa"/>
            <w:tcBorders>
              <w:left w:val="single" w:sz="8" w:space="0" w:color="000000"/>
              <w:bottom w:val="single" w:sz="8" w:space="0" w:color="000000"/>
              <w:right w:val="single" w:sz="8" w:space="0" w:color="000000"/>
            </w:tcBorders>
            <w:vAlign w:val="center"/>
          </w:tcPr>
          <w:p>
            <w:pPr>
              <w:pStyle w:val="StandardWW"/>
              <w:spacing w:lineRule="auto" w:line="240"/>
              <w:jc w:val="center"/>
              <w:rPr/>
            </w:pPr>
            <w:r>
              <w:rPr>
                <w:color w:val="000000"/>
              </w:rPr>
              <w:t>65,1</w:t>
            </w:r>
          </w:p>
        </w:tc>
      </w:tr>
      <w:tr>
        <w:trPr>
          <w:trHeight w:val="525" w:hRule="atLeast"/>
        </w:trPr>
        <w:tc>
          <w:tcPr>
            <w:tcW w:w="2620" w:type="dxa"/>
            <w:tcBorders>
              <w:left w:val="single" w:sz="8" w:space="0" w:color="000000"/>
              <w:bottom w:val="single" w:sz="8" w:space="0" w:color="000000"/>
            </w:tcBorders>
            <w:vAlign w:val="center"/>
          </w:tcPr>
          <w:p>
            <w:pPr>
              <w:pStyle w:val="StandardWW"/>
              <w:spacing w:lineRule="auto" w:line="240"/>
              <w:jc w:val="center"/>
              <w:rPr/>
            </w:pPr>
            <w:r>
              <w:rPr>
                <w:color w:val="000000"/>
              </w:rPr>
              <w:t>P2803</w:t>
            </w:r>
          </w:p>
        </w:tc>
        <w:tc>
          <w:tcPr>
            <w:tcW w:w="6733" w:type="dxa"/>
            <w:tcBorders>
              <w:left w:val="single" w:sz="8" w:space="0" w:color="000000"/>
              <w:bottom w:val="single" w:sz="8" w:space="0" w:color="000000"/>
              <w:right w:val="single" w:sz="8" w:space="0" w:color="000000"/>
            </w:tcBorders>
            <w:vAlign w:val="center"/>
          </w:tcPr>
          <w:p>
            <w:pPr>
              <w:pStyle w:val="StandardWW"/>
              <w:spacing w:lineRule="auto" w:line="240"/>
              <w:jc w:val="center"/>
              <w:rPr/>
            </w:pPr>
            <w:r>
              <w:rPr>
                <w:color w:val="000000"/>
              </w:rPr>
              <w:t>59,2</w:t>
            </w:r>
          </w:p>
        </w:tc>
      </w:tr>
    </w:tbl>
    <w:p>
      <w:pPr>
        <w:pStyle w:val="StandardWW"/>
        <w:spacing w:lineRule="auto" w:line="240"/>
        <w:rPr/>
      </w:pPr>
      <w:r>
        <w:rPr/>
      </w:r>
    </w:p>
    <w:p>
      <w:pPr>
        <w:pStyle w:val="StandardWW"/>
        <w:spacing w:lineRule="auto" w:line="240"/>
        <w:rPr/>
      </w:pPr>
      <w:r>
        <w:rPr/>
        <w:t>Attualmente la Sogaer ha superato tutte le fasi burocratiche/autorizzative per l’atttuazione del masterplan di sviluppo aeroportuale e in particolare, a seguito della positiva conclusione delle procedure di compatibilità ambientale ed urbanistica, il 12/4/2017 ha avuto l’approvazione dal Direttore Centrale Vigilanza Tecnica dell’ENAC all’attuazione degli interventi previsti per il potenziamento infrastrutturale e di tutela ambientale dell’aeroporto fino al 2024.</w:t>
      </w:r>
    </w:p>
    <w:p>
      <w:pPr>
        <w:pStyle w:val="StandardWW"/>
        <w:spacing w:lineRule="auto" w:line="240"/>
        <w:rPr>
          <w:i/>
          <w:i/>
          <w:iCs/>
        </w:rPr>
      </w:pPr>
      <w:r>
        <w:rPr>
          <w:i/>
          <w:iCs/>
        </w:rPr>
      </w:r>
    </w:p>
    <w:p>
      <w:pPr>
        <w:pStyle w:val="StandardWW"/>
        <w:spacing w:lineRule="auto" w:line="240"/>
        <w:rPr/>
      </w:pPr>
      <w:r>
        <w:rPr>
          <w:b/>
          <w:i/>
          <w:iCs/>
        </w:rPr>
        <w:t>Attività di abbattimento e contenimento del rumore</w:t>
      </w:r>
    </w:p>
    <w:p>
      <w:pPr>
        <w:pStyle w:val="StandardWW"/>
        <w:spacing w:lineRule="auto" w:line="240"/>
        <w:rPr>
          <w:color w:val="000000"/>
        </w:rPr>
      </w:pPr>
      <w:r>
        <w:rPr>
          <w:color w:val="000000"/>
        </w:rPr>
      </w:r>
    </w:p>
    <w:p>
      <w:pPr>
        <w:pStyle w:val="StandardWW"/>
        <w:spacing w:lineRule="auto" w:line="240"/>
        <w:rPr/>
      </w:pPr>
      <w:r>
        <w:rPr>
          <w:color w:val="000000"/>
        </w:rPr>
        <w:t>Al gestore dell’infrastruttura compete l’obbligo di cui all’art.</w:t>
      </w:r>
      <w:r>
        <w:rPr/>
        <w:t>3, comma 1 del D.P.R. 496/1997:</w:t>
      </w:r>
    </w:p>
    <w:p>
      <w:pPr>
        <w:pStyle w:val="StandardWW"/>
        <w:spacing w:lineRule="auto" w:line="240"/>
        <w:rPr/>
      </w:pPr>
      <w:r>
        <w:rPr>
          <w:i/>
        </w:rPr>
        <w:t>Ai sensi dell'art.10, comma 5, della legge 26 ottobre 1995, n.447, le società e gli enti gestori degli aeroporti, predispongono e presentano al Comune interessato il piano di abbattimento e contenimento del rumore prodotto dalle attività aeroportuali, redatto in conformità a quanto stabilito dal Ministro dell'ambiente con proprio decreto.</w:t>
      </w:r>
    </w:p>
    <w:p>
      <w:pPr>
        <w:pStyle w:val="StandardWW"/>
        <w:spacing w:lineRule="auto" w:line="240"/>
        <w:rPr>
          <w:color w:val="000000"/>
        </w:rPr>
      </w:pPr>
      <w:r>
        <w:rPr>
          <w:color w:val="000000"/>
        </w:rPr>
      </w:r>
    </w:p>
    <w:p>
      <w:pPr>
        <w:pStyle w:val="StandardWW"/>
        <w:spacing w:lineRule="auto" w:line="240"/>
        <w:rPr/>
      </w:pPr>
      <w:r>
        <w:rPr>
          <w:color w:val="000000"/>
        </w:rPr>
        <w:t>Al momento della stesura del presente documento non risulta che l’ente gestore dell’infrastruttura aeroportuale abbia presentato agli enti competenti (comuni di Elmas, Assemini e Cagliari) un piano di risanamento acustico ai sensi del D.P.R. 496/1997.</w:t>
      </w:r>
    </w:p>
    <w:p>
      <w:pPr>
        <w:pStyle w:val="StandardWW"/>
        <w:spacing w:lineRule="auto" w:line="240"/>
        <w:rPr>
          <w:color w:val="000000"/>
        </w:rPr>
      </w:pPr>
      <w:r>
        <w:rPr>
          <w:color w:val="000000"/>
        </w:rPr>
      </w:r>
    </w:p>
    <w:p>
      <w:pPr>
        <w:pStyle w:val="StandardWW"/>
        <w:spacing w:lineRule="auto" w:line="240"/>
        <w:rPr/>
      </w:pPr>
      <w:r>
        <w:rPr>
          <w:color w:val="000000"/>
        </w:rPr>
        <w:t>Questo fatto dipende da tre ragioni fondamentali:</w:t>
      </w:r>
    </w:p>
    <w:p>
      <w:pPr>
        <w:pStyle w:val="StandardWW"/>
        <w:spacing w:lineRule="auto" w:line="240"/>
        <w:rPr>
          <w:color w:val="000000"/>
        </w:rPr>
      </w:pPr>
      <w:r>
        <w:rPr>
          <w:color w:val="000000"/>
        </w:rPr>
      </w:r>
    </w:p>
    <w:p>
      <w:pPr>
        <w:pStyle w:val="StandardWW"/>
        <w:numPr>
          <w:ilvl w:val="0"/>
          <w:numId w:val="257"/>
        </w:numPr>
        <w:spacing w:lineRule="auto" w:line="240"/>
        <w:rPr/>
      </w:pPr>
      <w:r>
        <w:rPr>
          <w:color w:val="000000"/>
        </w:rPr>
        <w:t>secondo quanto stabilito dal D.M. 20/5/1999 i limiti per il rumore aeroportuale sono definiti e approvati da una apposita commissione aeroportuale che, al momento della stesura del presente documento, non ha ancora provveduto a definire ufficialmente le zone A, B e C previste dal decreto;</w:t>
      </w:r>
    </w:p>
    <w:p>
      <w:pPr>
        <w:pStyle w:val="StandardWW"/>
        <w:numPr>
          <w:ilvl w:val="0"/>
          <w:numId w:val="258"/>
        </w:numPr>
        <w:spacing w:lineRule="auto" w:line="240"/>
        <w:rPr/>
      </w:pPr>
      <w:r>
        <w:rPr>
          <w:color w:val="000000"/>
        </w:rPr>
        <w:t>benché esista un sistema di monitoraggio del rumore aeroportuale, risulta estremamente difficile soprattutto per l’aeroporto in esame riscontrare violazioni delle procedure antirumore di cui all’art.2, comma 1 del D.P.R. 496/1997. Le procedure antirumore consistono, in effetti, nella definizione di corridoi aerei all’interno dei quali i velivoli devono mantenersi nelle fasi di decollo e atterraggio. Molto spesso i velivoli non rispettano tali corridoi per ragioni di sicurezza (presenza di volatili, condizioni meteo avverse…) e in tali circostanze risulta impossibile contestare la violazione;</w:t>
      </w:r>
    </w:p>
    <w:p>
      <w:pPr>
        <w:pStyle w:val="StandardWW"/>
        <w:numPr>
          <w:ilvl w:val="0"/>
          <w:numId w:val="259"/>
        </w:numPr>
        <w:spacing w:lineRule="auto" w:line="240"/>
        <w:rPr/>
      </w:pPr>
      <w:r>
        <w:rPr>
          <w:color w:val="000000"/>
        </w:rPr>
        <w:t>il collegamento tra la traccia radar e la traccia sonora  rilevabile tramite stazione fonometrica avverrà mediante un radar a gestione civile di tipo digitale in fase di implementazione - a oggi dipende dal radar dell'aeroporto militare di Decimomannu, di tipo analogico, che attualmente non può fornire dati utili alla tracciabilità dell'evento sonoro se non in formato puntuale ed immagine. Inoltre è in fase di predisposizione e collaudo tecnico la correlazione dei livelli misurati di rumore con la BDV (base dati volo), gestita dal COS (centro operativo Sogaer) e i tracciati inviati dai trasponders di volo al ricevitore ADS-B (automatic dependent survelliance broadcast) di cui sono dotate le centraline.</w:t>
      </w:r>
    </w:p>
    <w:p>
      <w:pPr>
        <w:pStyle w:val="StandardWW"/>
        <w:spacing w:lineRule="auto" w:line="240"/>
        <w:rPr/>
      </w:pPr>
      <w:r>
        <w:rPr/>
      </w:r>
    </w:p>
    <w:p>
      <w:pPr>
        <w:pStyle w:val="StandardWW"/>
        <w:spacing w:lineRule="auto" w:line="240"/>
        <w:rPr/>
      </w:pPr>
      <w:r>
        <w:rPr/>
        <w:t>Nell'ambito delle riunioni della commissione aeroportuale per la definizione delle zone A-B-C (D.M. 31/10/1997) sono state elaborate diverse rappresentazioni delle curve isofoniche, relative all'impronta acustica sul suolo dell'impatto sonoro dei velivoli, sulla base delle quali definire una zonizzazione acustica dell'intorno aeroportuale. Una delle ultime proposte è di seguito rappresentata.</w:t>
      </w:r>
    </w:p>
    <w:p>
      <w:pPr>
        <w:pStyle w:val="StandardWW"/>
        <w:spacing w:lineRule="auto" w:line="240"/>
        <w:rPr/>
      </w:pPr>
      <w:r>
        <w:rPr/>
      </w:r>
    </w:p>
    <w:p>
      <w:pPr>
        <w:pStyle w:val="FigureTabelle"/>
        <w:rPr/>
      </w:pPr>
      <w:r>
        <w:rPr/>
        <w:drawing>
          <wp:inline distT="0" distB="0" distL="0" distR="0">
            <wp:extent cx="4811395" cy="3856990"/>
            <wp:effectExtent l="0" t="0" r="0" b="0"/>
            <wp:docPr id="18" name="Immagine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19" descr=""/>
                    <pic:cNvPicPr>
                      <a:picLocks noChangeAspect="1" noChangeArrowheads="1"/>
                    </pic:cNvPicPr>
                  </pic:nvPicPr>
                  <pic:blipFill>
                    <a:blip r:embed="rId22"/>
                    <a:srcRect l="11744" t="16129" r="30503" b="11138"/>
                    <a:stretch>
                      <a:fillRect/>
                    </a:stretch>
                  </pic:blipFill>
                  <pic:spPr bwMode="auto">
                    <a:xfrm>
                      <a:off x="0" y="0"/>
                      <a:ext cx="4811395" cy="3856990"/>
                    </a:xfrm>
                    <a:prstGeom prst="rect">
                      <a:avLst/>
                    </a:prstGeom>
                  </pic:spPr>
                </pic:pic>
              </a:graphicData>
            </a:graphic>
          </wp:inline>
        </w:drawing>
      </w:r>
    </w:p>
    <w:p>
      <w:pPr>
        <w:pStyle w:val="FigureTabelle"/>
        <w:rPr/>
      </w:pPr>
      <w:bookmarkStart w:id="89" w:name="_Toc171894445"/>
      <w:bookmarkStart w:id="90" w:name="_Toc171964367"/>
      <w:r>
        <w:rPr>
          <w:rFonts w:cs="Arial" w:ascii="Arial" w:hAnsi="Arial"/>
          <w:szCs w:val="20"/>
        </w:rPr>
        <w:t>Figura 9.</w:t>
      </w:r>
      <w:bookmarkEnd w:id="90"/>
      <w:r>
        <w:rPr>
          <w:rFonts w:cs="Arial" w:ascii="Arial" w:hAnsi="Arial"/>
          <w:szCs w:val="20"/>
        </w:rPr>
        <w:t>18</w:t>
      </w:r>
      <w:bookmarkEnd w:id="89"/>
    </w:p>
    <w:p>
      <w:pPr>
        <w:pStyle w:val="StandardWW"/>
        <w:spacing w:lineRule="auto" w:line="240"/>
        <w:rPr/>
      </w:pPr>
      <w:r>
        <w:rPr/>
      </w:r>
    </w:p>
    <w:p>
      <w:pPr>
        <w:pStyle w:val="StandardWW"/>
        <w:spacing w:lineRule="auto" w:line="240"/>
        <w:rPr/>
      </w:pPr>
      <w:r>
        <w:rPr/>
        <w:t>L’ARPAS, ha eseguito una campagna di rilievi fonometrici allo scopo di poter proporre una simulazione dell'impronta acustica sul suolo del sorvolo degli aerei con un profilo di decollo dalla pista con direzione nord-ovest (direzione che presenta un magior numero di potenziale popolazione esposta).</w:t>
      </w:r>
    </w:p>
    <w:p>
      <w:pPr>
        <w:pStyle w:val="StandardWW"/>
        <w:spacing w:lineRule="auto" w:line="240"/>
        <w:rPr/>
      </w:pPr>
      <w:r>
        <w:rPr/>
        <w:t>In base allo studio predisposto dall'ARPAS si evidenzia la possibilità di ridurre la popolazione esposta mediante l'adozione di una rotta di decollo che prevede una virata di circa 15° verso ovest rispetto alla rotta attualmente applicata.</w:t>
      </w:r>
    </w:p>
    <w:p>
      <w:pPr>
        <w:pStyle w:val="StandardWW"/>
        <w:spacing w:lineRule="auto" w:line="240"/>
        <w:rPr/>
      </w:pPr>
      <w:r>
        <w:rPr/>
        <w:t>La proposta è rimasta in fase di discussione in sede di commissione aeroportuale.</w:t>
      </w:r>
    </w:p>
    <w:p>
      <w:pPr>
        <w:pStyle w:val="StandardWW"/>
        <w:spacing w:lineRule="auto" w:line="240"/>
        <w:rPr/>
      </w:pPr>
      <w:r>
        <w:rPr/>
      </w:r>
    </w:p>
    <w:p>
      <w:pPr>
        <w:pStyle w:val="StandardWW"/>
        <w:spacing w:lineRule="auto" w:line="240"/>
        <w:rPr/>
      </w:pPr>
      <w:r>
        <w:rPr/>
        <w:t>Di seguito si riporta un estratto dello studio:</w:t>
      </w:r>
    </w:p>
    <w:p>
      <w:pPr>
        <w:pStyle w:val="FigureTabelle"/>
        <w:rPr/>
      </w:pPr>
      <w:bookmarkStart w:id="91" w:name="_Toc171964398"/>
      <w:r>
        <w:rPr>
          <w:rFonts w:cs="Arial" w:ascii="Arial" w:hAnsi="Arial"/>
          <w:szCs w:val="20"/>
        </w:rPr>
        <w:t>Tabella 9.</w:t>
      </w:r>
      <w:bookmarkEnd w:id="91"/>
      <w:r>
        <w:rPr>
          <w:rFonts w:cs="Arial" w:ascii="Arial" w:hAnsi="Arial"/>
          <w:szCs w:val="20"/>
        </w:rPr>
        <w:t>18</w:t>
      </w:r>
    </w:p>
    <w:p>
      <w:pPr>
        <w:pStyle w:val="StandardWW"/>
        <w:spacing w:lineRule="auto" w:line="240"/>
        <w:rPr/>
      </w:pPr>
      <w:r>
        <w:rPr/>
      </w:r>
    </w:p>
    <w:tbl>
      <w:tblPr>
        <w:tblW w:w="9354" w:type="dxa"/>
        <w:jc w:val="center"/>
        <w:tblInd w:w="0" w:type="dxa"/>
        <w:tblLayout w:type="fixed"/>
        <w:tblCellMar>
          <w:top w:w="55" w:type="dxa"/>
          <w:left w:w="55" w:type="dxa"/>
          <w:bottom w:w="55" w:type="dxa"/>
          <w:right w:w="55" w:type="dxa"/>
        </w:tblCellMar>
        <w:tblLook w:firstRow="0" w:noVBand="0" w:lastRow="0" w:firstColumn="0" w:lastColumn="0" w:noHBand="0" w:val="0000"/>
      </w:tblPr>
      <w:tblGrid>
        <w:gridCol w:w="1332"/>
        <w:gridCol w:w="1336"/>
        <w:gridCol w:w="1340"/>
        <w:gridCol w:w="1364"/>
        <w:gridCol w:w="1306"/>
        <w:gridCol w:w="1343"/>
        <w:gridCol w:w="1332"/>
      </w:tblGrid>
      <w:tr>
        <w:trPr/>
        <w:tc>
          <w:tcPr>
            <w:tcW w:w="9353" w:type="dxa"/>
            <w:gridSpan w:val="7"/>
            <w:tcBorders>
              <w:top w:val="single" w:sz="2" w:space="0" w:color="000000"/>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b/>
                <w:bCs/>
              </w:rPr>
              <w:t>N° residenti esposti – scenario traffico aeroportuale</w:t>
            </w:r>
          </w:p>
        </w:tc>
      </w:tr>
      <w:tr>
        <w:trPr/>
        <w:tc>
          <w:tcPr>
            <w:tcW w:w="1332" w:type="dxa"/>
            <w:vMerge w:val="restart"/>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b/>
                <w:bCs/>
              </w:rPr>
              <w:t>Zona</w:t>
            </w:r>
          </w:p>
        </w:tc>
        <w:tc>
          <w:tcPr>
            <w:tcW w:w="1336" w:type="dxa"/>
            <w:vMerge w:val="restart"/>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b/>
                <w:bCs/>
              </w:rPr>
              <w:t>LVA - dB(A)</w:t>
            </w:r>
          </w:p>
        </w:tc>
        <w:tc>
          <w:tcPr>
            <w:tcW w:w="1340" w:type="dxa"/>
            <w:vMerge w:val="restart"/>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b/>
                <w:bCs/>
              </w:rPr>
              <w:t>Comune</w:t>
            </w:r>
          </w:p>
        </w:tc>
        <w:tc>
          <w:tcPr>
            <w:tcW w:w="2670" w:type="dxa"/>
            <w:gridSpan w:val="2"/>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b/>
                <w:bCs/>
              </w:rPr>
              <w:t>AIP - VETT</w:t>
            </w:r>
          </w:p>
        </w:tc>
        <w:tc>
          <w:tcPr>
            <w:tcW w:w="2675" w:type="dxa"/>
            <w:gridSpan w:val="2"/>
            <w:tcBorders>
              <w:left w:val="single" w:sz="2" w:space="0" w:color="000000"/>
              <w:bottom w:val="single" w:sz="2" w:space="0" w:color="000000"/>
              <w:right w:val="single" w:sz="2" w:space="0" w:color="000000"/>
            </w:tcBorders>
            <w:shd w:color="auto" w:fill="E6E6FF" w:val="clear"/>
            <w:vAlign w:val="center"/>
          </w:tcPr>
          <w:p>
            <w:pPr>
              <w:pStyle w:val="Contenutotabella"/>
              <w:spacing w:lineRule="auto" w:line="240" w:before="120" w:after="120"/>
              <w:jc w:val="center"/>
              <w:rPr/>
            </w:pPr>
            <w:r>
              <w:rPr>
                <w:b/>
                <w:bCs/>
              </w:rPr>
              <w:t>Accostata 15 gradi Ovest</w:t>
            </w:r>
          </w:p>
        </w:tc>
      </w:tr>
      <w:tr>
        <w:trPr/>
        <w:tc>
          <w:tcPr>
            <w:tcW w:w="1332" w:type="dxa"/>
            <w:vMerge w:val="continue"/>
            <w:tcBorders>
              <w:left w:val="single" w:sz="2" w:space="0" w:color="000000"/>
              <w:bottom w:val="single" w:sz="2" w:space="0" w:color="000000"/>
            </w:tcBorders>
            <w:shd w:color="auto" w:fill="E6E6FF" w:val="clear"/>
            <w:vAlign w:val="center"/>
          </w:tcPr>
          <w:p>
            <w:pPr>
              <w:pStyle w:val="Normal"/>
              <w:rPr/>
            </w:pPr>
            <w:r>
              <w:rPr/>
            </w:r>
          </w:p>
        </w:tc>
        <w:tc>
          <w:tcPr>
            <w:tcW w:w="1336" w:type="dxa"/>
            <w:vMerge w:val="continue"/>
            <w:tcBorders>
              <w:left w:val="single" w:sz="2" w:space="0" w:color="000000"/>
              <w:bottom w:val="single" w:sz="2" w:space="0" w:color="000000"/>
            </w:tcBorders>
            <w:shd w:color="auto" w:fill="E6E6FF" w:val="clear"/>
            <w:vAlign w:val="center"/>
          </w:tcPr>
          <w:p>
            <w:pPr>
              <w:pStyle w:val="Normal"/>
              <w:rPr/>
            </w:pPr>
            <w:r>
              <w:rPr/>
            </w:r>
          </w:p>
        </w:tc>
        <w:tc>
          <w:tcPr>
            <w:tcW w:w="1340" w:type="dxa"/>
            <w:vMerge w:val="continue"/>
            <w:tcBorders>
              <w:left w:val="single" w:sz="2" w:space="0" w:color="000000"/>
              <w:bottom w:val="single" w:sz="2" w:space="0" w:color="000000"/>
            </w:tcBorders>
            <w:shd w:color="auto" w:fill="E6E6FF" w:val="clear"/>
            <w:vAlign w:val="center"/>
          </w:tcPr>
          <w:p>
            <w:pPr>
              <w:pStyle w:val="Normal"/>
              <w:rPr/>
            </w:pPr>
            <w:r>
              <w:rPr/>
            </w:r>
          </w:p>
        </w:tc>
        <w:tc>
          <w:tcPr>
            <w:tcW w:w="1364" w:type="dxa"/>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t>Icao A</w:t>
            </w:r>
          </w:p>
        </w:tc>
        <w:tc>
          <w:tcPr>
            <w:tcW w:w="1306" w:type="dxa"/>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t>Icao B</w:t>
            </w:r>
          </w:p>
        </w:tc>
        <w:tc>
          <w:tcPr>
            <w:tcW w:w="1343" w:type="dxa"/>
            <w:tcBorders>
              <w:left w:val="single" w:sz="2" w:space="0" w:color="000000"/>
              <w:bottom w:val="single" w:sz="2" w:space="0" w:color="000000"/>
            </w:tcBorders>
            <w:shd w:color="auto" w:fill="E6E6FF" w:val="clear"/>
            <w:vAlign w:val="center"/>
          </w:tcPr>
          <w:p>
            <w:pPr>
              <w:pStyle w:val="Contenutotabella"/>
              <w:spacing w:lineRule="auto" w:line="240" w:before="120" w:after="120"/>
              <w:jc w:val="center"/>
              <w:rPr/>
            </w:pPr>
            <w:r>
              <w:rPr/>
              <w:t>Icao A</w:t>
            </w:r>
          </w:p>
        </w:tc>
        <w:tc>
          <w:tcPr>
            <w:tcW w:w="1332" w:type="dxa"/>
            <w:tcBorders>
              <w:left w:val="single" w:sz="2" w:space="0" w:color="000000"/>
              <w:bottom w:val="single" w:sz="2" w:space="0" w:color="000000"/>
              <w:right w:val="single" w:sz="2" w:space="0" w:color="000000"/>
            </w:tcBorders>
            <w:shd w:color="auto" w:fill="E6E6FF" w:val="clear"/>
            <w:vAlign w:val="center"/>
          </w:tcPr>
          <w:p>
            <w:pPr>
              <w:pStyle w:val="Contenutotabella"/>
              <w:spacing w:lineRule="auto" w:line="240" w:before="120" w:after="120"/>
              <w:jc w:val="center"/>
              <w:rPr/>
            </w:pPr>
            <w:r>
              <w:rPr/>
              <w:t>Icao B</w:t>
            </w:r>
          </w:p>
        </w:tc>
      </w:tr>
      <w:tr>
        <w:trPr/>
        <w:tc>
          <w:tcPr>
            <w:tcW w:w="1332" w:type="dxa"/>
            <w:tcBorders>
              <w:top w:val="single" w:sz="2" w:space="0" w:color="000000"/>
              <w:left w:val="single" w:sz="2" w:space="0" w:color="000000"/>
              <w:bottom w:val="single" w:sz="2" w:space="0" w:color="000000"/>
            </w:tcBorders>
            <w:vAlign w:val="center"/>
          </w:tcPr>
          <w:p>
            <w:pPr>
              <w:pStyle w:val="Contenutotabella"/>
              <w:spacing w:lineRule="auto" w:line="240" w:before="120" w:after="120"/>
              <w:jc w:val="center"/>
              <w:rPr/>
            </w:pPr>
            <w:r>
              <w:rPr/>
              <w:t>C</w:t>
            </w:r>
          </w:p>
        </w:tc>
        <w:tc>
          <w:tcPr>
            <w:tcW w:w="1336" w:type="dxa"/>
            <w:tcBorders>
              <w:top w:val="single" w:sz="2" w:space="0" w:color="000000"/>
              <w:left w:val="single" w:sz="2" w:space="0" w:color="000000"/>
              <w:bottom w:val="single" w:sz="2" w:space="0" w:color="000000"/>
            </w:tcBorders>
            <w:vAlign w:val="center"/>
          </w:tcPr>
          <w:p>
            <w:pPr>
              <w:pStyle w:val="Contenutotabella"/>
              <w:spacing w:lineRule="auto" w:line="240" w:before="120" w:after="120"/>
              <w:jc w:val="center"/>
              <w:rPr/>
            </w:pPr>
            <w:r>
              <w:rPr/>
              <w:t>&gt; 75</w:t>
            </w:r>
          </w:p>
        </w:tc>
        <w:tc>
          <w:tcPr>
            <w:tcW w:w="1340" w:type="dxa"/>
            <w:tcBorders>
              <w:top w:val="single" w:sz="2" w:space="0" w:color="000000"/>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Elmas</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B</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65 ÷ 75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Elmas</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199</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200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106</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106</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A</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60 ÷ 65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Elmas</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449</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520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341</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349</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C</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&gt; 75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Assemini</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B</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65 ÷ 75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Assemini</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A</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60 ÷ 65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Assemini</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802</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r>
        <w:trPr>
          <w:trHeight w:val="389" w:hRule="atLeast"/>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C</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&gt; 75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Cagliari</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B</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65 ÷ 75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Cagliari</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r>
        <w:trPr/>
        <w:tc>
          <w:tcPr>
            <w:tcW w:w="1332" w:type="dxa"/>
            <w:tcBorders>
              <w:left w:val="single" w:sz="2" w:space="0" w:color="000000"/>
              <w:bottom w:val="single" w:sz="2" w:space="0" w:color="000000"/>
            </w:tcBorders>
            <w:vAlign w:val="center"/>
          </w:tcPr>
          <w:p>
            <w:pPr>
              <w:pStyle w:val="Contenutotabella"/>
              <w:spacing w:lineRule="auto" w:line="240" w:before="120" w:after="120"/>
              <w:jc w:val="center"/>
              <w:rPr/>
            </w:pPr>
            <w:r>
              <w:rPr/>
              <w:t>A</w:t>
            </w:r>
          </w:p>
        </w:tc>
        <w:tc>
          <w:tcPr>
            <w:tcW w:w="1336" w:type="dxa"/>
            <w:tcBorders>
              <w:left w:val="single" w:sz="2" w:space="0" w:color="000000"/>
              <w:bottom w:val="single" w:sz="2" w:space="0" w:color="000000"/>
            </w:tcBorders>
            <w:vAlign w:val="center"/>
          </w:tcPr>
          <w:p>
            <w:pPr>
              <w:pStyle w:val="Contenutotabella"/>
              <w:spacing w:lineRule="auto" w:line="240" w:before="120" w:after="120"/>
              <w:jc w:val="center"/>
              <w:rPr/>
            </w:pPr>
            <w:r>
              <w:rPr/>
              <w:t>60 ÷ 65</w:t>
            </w:r>
          </w:p>
        </w:tc>
        <w:tc>
          <w:tcPr>
            <w:tcW w:w="1340" w:type="dxa"/>
            <w:tcBorders>
              <w:left w:val="single" w:sz="2" w:space="0" w:color="000000"/>
              <w:bottom w:val="single" w:sz="2" w:space="0" w:color="000000"/>
            </w:tcBorders>
            <w:vAlign w:val="center"/>
          </w:tcPr>
          <w:p>
            <w:pPr>
              <w:pStyle w:val="Contenutotabella"/>
              <w:spacing w:lineRule="auto" w:line="240" w:before="120" w:after="120"/>
              <w:jc w:val="center"/>
              <w:rPr/>
            </w:pPr>
            <w:r>
              <w:rPr/>
              <w:t>Cagliari</w:t>
            </w:r>
          </w:p>
        </w:tc>
        <w:tc>
          <w:tcPr>
            <w:tcW w:w="1364"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06"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43" w:type="dxa"/>
            <w:tcBorders>
              <w:left w:val="single" w:sz="2" w:space="0" w:color="000000"/>
              <w:bottom w:val="single" w:sz="2" w:space="0" w:color="000000"/>
            </w:tcBorders>
            <w:vAlign w:val="center"/>
          </w:tcPr>
          <w:p>
            <w:pPr>
              <w:pStyle w:val="Contenutotabella"/>
              <w:spacing w:lineRule="auto" w:line="240" w:before="120" w:after="120"/>
              <w:jc w:val="center"/>
              <w:rPr/>
            </w:pPr>
            <w:r>
              <w:rPr/>
              <w:t>0</w:t>
            </w:r>
          </w:p>
        </w:tc>
        <w:tc>
          <w:tcPr>
            <w:tcW w:w="1332" w:type="dxa"/>
            <w:tcBorders>
              <w:left w:val="single" w:sz="2" w:space="0" w:color="000000"/>
              <w:bottom w:val="single" w:sz="2" w:space="0" w:color="000000"/>
              <w:right w:val="single" w:sz="2" w:space="0" w:color="000000"/>
            </w:tcBorders>
            <w:vAlign w:val="center"/>
          </w:tcPr>
          <w:p>
            <w:pPr>
              <w:pStyle w:val="Contenutotabella"/>
              <w:spacing w:lineRule="auto" w:line="240" w:before="120" w:after="120"/>
              <w:jc w:val="center"/>
              <w:rPr/>
            </w:pPr>
            <w:r>
              <w:rPr/>
              <w:t>0</w:t>
            </w:r>
          </w:p>
        </w:tc>
      </w:tr>
    </w:tbl>
    <w:p>
      <w:pPr>
        <w:pStyle w:val="StandardWW"/>
        <w:spacing w:lineRule="auto" w:line="240"/>
        <w:rPr/>
      </w:pPr>
      <w:r>
        <w:rPr/>
      </w:r>
    </w:p>
    <w:p>
      <w:pPr>
        <w:pStyle w:val="StandardWW"/>
        <w:spacing w:lineRule="auto" w:line="240"/>
        <w:rPr/>
      </w:pPr>
      <w:r>
        <w:rPr/>
      </w:r>
    </w:p>
    <w:p>
      <w:pPr>
        <w:pStyle w:val="FigureTabelle"/>
        <w:rPr/>
      </w:pPr>
      <w:r>
        <w:rPr/>
        <w:drawing>
          <wp:inline distT="0" distB="0" distL="0" distR="0">
            <wp:extent cx="3599815" cy="2620645"/>
            <wp:effectExtent l="0" t="0" r="0" b="0"/>
            <wp:docPr id="19" name="immagini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i6" descr=""/>
                    <pic:cNvPicPr>
                      <a:picLocks noChangeAspect="1" noChangeArrowheads="1"/>
                    </pic:cNvPicPr>
                  </pic:nvPicPr>
                  <pic:blipFill>
                    <a:blip r:embed="rId23"/>
                    <a:stretch>
                      <a:fillRect/>
                    </a:stretch>
                  </pic:blipFill>
                  <pic:spPr bwMode="auto">
                    <a:xfrm>
                      <a:off x="0" y="0"/>
                      <a:ext cx="3599815" cy="2620645"/>
                    </a:xfrm>
                    <a:prstGeom prst="rect">
                      <a:avLst/>
                    </a:prstGeom>
                  </pic:spPr>
                </pic:pic>
              </a:graphicData>
            </a:graphic>
          </wp:inline>
        </w:drawing>
      </w:r>
    </w:p>
    <w:p>
      <w:pPr>
        <w:pStyle w:val="FigureTabelle"/>
        <w:rPr/>
      </w:pPr>
      <w:bookmarkStart w:id="92" w:name="_Toc171894446"/>
      <w:bookmarkStart w:id="93" w:name="_Toc171964368"/>
      <w:r>
        <w:rPr>
          <w:rFonts w:cs="Arial" w:ascii="Arial" w:hAnsi="Arial"/>
          <w:szCs w:val="20"/>
        </w:rPr>
        <w:t>Figura 9.</w:t>
      </w:r>
      <w:bookmarkEnd w:id="93"/>
      <w:r>
        <w:rPr>
          <w:rFonts w:cs="Arial" w:ascii="Arial" w:hAnsi="Arial"/>
          <w:szCs w:val="20"/>
        </w:rPr>
        <w:t>19</w:t>
      </w:r>
      <w:bookmarkEnd w:id="92"/>
    </w:p>
    <w:p>
      <w:pPr>
        <w:pStyle w:val="StandardWW"/>
        <w:rPr/>
      </w:pPr>
      <w:r>
        <w:rPr/>
      </w:r>
    </w:p>
    <w:p>
      <w:pPr>
        <w:pStyle w:val="StandardWW"/>
        <w:rPr/>
      </w:pPr>
      <w:r>
        <w:rPr/>
        <w:t>Poiché si sono verificate negli ultimi anni notevoli variazioni in termini di numero di voli e traiettorie, è opportuna la verifica della coerenza delle curve proposte per la definizione delle zone A, B e C dell’intorno aeroportuale nell’ambito della Commissione aeroportuale.</w:t>
      </w:r>
    </w:p>
    <w:p>
      <w:pPr>
        <w:pStyle w:val="StandardWW"/>
        <w:rPr/>
      </w:pPr>
      <w:r>
        <w:rPr/>
        <w:t>Inoltre, visto il piano di sviluppo aeroportuale previsto da Sogaer per i prossimi anni, s’induce a ritenere necessaria un'azione di risanamento, che passi attraverso una fase di verifica dei livelli sonori nelle zone abitate (Elmas e Assemini).</w:t>
      </w:r>
    </w:p>
    <w:p>
      <w:pPr>
        <w:pStyle w:val="StandardWW"/>
        <w:spacing w:lineRule="auto" w:line="240"/>
        <w:rPr>
          <w:i/>
          <w:i/>
          <w:iCs/>
        </w:rPr>
      </w:pPr>
      <w:r>
        <w:rPr>
          <w:i/>
          <w:iCs/>
        </w:rPr>
      </w:r>
    </w:p>
    <w:p>
      <w:pPr>
        <w:pStyle w:val="StandardWW"/>
        <w:spacing w:lineRule="auto" w:line="240"/>
        <w:rPr>
          <w:i/>
          <w:i/>
          <w:iCs/>
        </w:rPr>
      </w:pPr>
      <w:r>
        <w:rPr>
          <w:i/>
          <w:iCs/>
        </w:rPr>
      </w:r>
    </w:p>
    <w:p>
      <w:pPr>
        <w:pStyle w:val="StandardWW"/>
        <w:spacing w:lineRule="auto" w:line="240"/>
        <w:rPr/>
      </w:pPr>
      <w:r>
        <w:rPr>
          <w:i/>
          <w:iCs/>
        </w:rPr>
        <w:t>Aree di interesse ai fini della mappatura acustica</w:t>
      </w:r>
    </w:p>
    <w:p>
      <w:pPr>
        <w:pStyle w:val="StandardWW"/>
        <w:spacing w:lineRule="auto" w:line="240"/>
        <w:rPr/>
      </w:pPr>
      <w:r>
        <w:rPr/>
      </w:r>
    </w:p>
    <w:p>
      <w:pPr>
        <w:pStyle w:val="StandardWW"/>
        <w:spacing w:lineRule="auto" w:line="240"/>
        <w:rPr/>
      </w:pPr>
      <w:r>
        <w:rPr/>
      </w:r>
    </w:p>
    <w:p>
      <w:pPr>
        <w:pStyle w:val="StandardWW"/>
        <w:spacing w:lineRule="auto" w:line="240"/>
        <w:rPr/>
      </w:pPr>
      <w:r>
        <w:rPr>
          <w:b/>
          <w:i/>
          <w:iCs/>
        </w:rPr>
        <w:t>Risultati attesi nel prossimo quinquennio in relazione al miglioramento della situazione acustica</w:t>
      </w:r>
    </w:p>
    <w:p>
      <w:pPr>
        <w:pStyle w:val="StandardWW"/>
        <w:spacing w:lineRule="auto" w:line="240"/>
        <w:rPr/>
      </w:pPr>
      <w:r>
        <w:rPr/>
      </w:r>
    </w:p>
    <w:p>
      <w:pPr>
        <w:pStyle w:val="StandardWW"/>
        <w:spacing w:lineRule="auto" w:line="240"/>
        <w:rPr/>
      </w:pPr>
      <w:r>
        <w:rPr/>
        <w:t>Si prevede che entro il 2019 la Commissione Aeroportuale approvi ufficialmente le curve che definiscono le zone A, B e C e, di conseguenza, sia possibile stabilire con un riscontro metrologico fornito dalle centraline del sistema di monitoraggio aeroportuale, l’eventuale superamento dei limiti.</w:t>
      </w:r>
    </w:p>
    <w:p>
      <w:pPr>
        <w:pStyle w:val="StandardWW"/>
        <w:spacing w:lineRule="auto" w:line="240"/>
        <w:rPr/>
      </w:pPr>
      <w:r>
        <w:rPr/>
        <w:t>E’ inoltre auspicabile l’attivazione di una campagna di monitoraggio del rumore aeroportuale nelle zone densamente abitate di Elmas e Assemini e che si provveda ad una modellizzazione dell’inquinamento acustico aeroportuale per la verifica di coerenza delle curve isofoniche attualmente proposte in sede di commissione aeroportuale.</w:t>
      </w:r>
    </w:p>
    <w:p>
      <w:pPr>
        <w:pStyle w:val="StandardWW"/>
        <w:spacing w:lineRule="auto" w:line="240"/>
        <w:rPr/>
      </w:pPr>
      <w:r>
        <w:rPr/>
      </w:r>
    </w:p>
    <w:p>
      <w:pPr>
        <w:pStyle w:val="StandardWW"/>
        <w:spacing w:lineRule="auto" w:line="240"/>
        <w:rPr/>
      </w:pPr>
      <w:r>
        <w:rPr/>
      </w:r>
    </w:p>
    <w:p>
      <w:pPr>
        <w:pStyle w:val="StandardWW"/>
        <w:spacing w:lineRule="auto" w:line="240"/>
        <w:rPr/>
      </w:pPr>
      <w:r>
        <w:rPr/>
      </w:r>
    </w:p>
    <w:p>
      <w:pPr>
        <w:pStyle w:val="StandardWW"/>
        <w:spacing w:lineRule="auto" w:line="240"/>
        <w:rPr>
          <w:color w:val="000000"/>
        </w:rPr>
      </w:pPr>
      <w:r>
        <w:rPr>
          <w:color w:val="000000"/>
        </w:rPr>
      </w:r>
    </w:p>
    <w:p>
      <w:pPr>
        <w:pStyle w:val="StandardWW"/>
        <w:spacing w:lineRule="auto" w:line="240"/>
        <w:rPr>
          <w:color w:val="000000"/>
        </w:rPr>
      </w:pPr>
      <w:r>
        <w:rPr>
          <w:color w:val="000000"/>
        </w:rPr>
      </w:r>
    </w:p>
    <w:p>
      <w:pPr>
        <w:pStyle w:val="StandardWW"/>
        <w:spacing w:lineRule="auto" w:line="240"/>
        <w:rPr>
          <w:color w:val="000000"/>
        </w:rPr>
      </w:pPr>
      <w:r>
        <w:rPr>
          <w:color w:val="000000"/>
        </w:rPr>
      </w:r>
    </w:p>
    <w:p>
      <w:pPr>
        <w:pStyle w:val="Heading2"/>
        <w:numPr>
          <w:ilvl w:val="1"/>
          <w:numId w:val="260"/>
        </w:numPr>
        <w:rPr/>
      </w:pPr>
      <w:bookmarkStart w:id="94" w:name="__RefHeading__29_468148522"/>
      <w:bookmarkStart w:id="95" w:name="_Toc178778192"/>
      <w:bookmarkEnd w:id="94"/>
      <w:r>
        <w:rPr>
          <w:rFonts w:cs="Arial" w:ascii="Arial" w:hAnsi="Arial"/>
          <w:sz w:val="20"/>
          <w:szCs w:val="20"/>
        </w:rPr>
        <w:t>Piano di risanamento acustico delle infrastrutture portuali</w:t>
      </w:r>
      <w:bookmarkEnd w:id="95"/>
    </w:p>
    <w:p>
      <w:pPr>
        <w:pStyle w:val="StandardWW"/>
        <w:spacing w:lineRule="auto" w:line="240"/>
        <w:rPr/>
      </w:pPr>
      <w:r>
        <w:rPr/>
      </w:r>
    </w:p>
    <w:p>
      <w:pPr>
        <w:pStyle w:val="NormaleCorpo"/>
        <w:rPr/>
      </w:pPr>
      <w:r>
        <w:rPr>
          <w:rFonts w:cs="Arial" w:ascii="Arial" w:hAnsi="Arial"/>
          <w:sz w:val="20"/>
          <w:szCs w:val="20"/>
        </w:rPr>
        <w:t>L'autorità di Sistema Portuale del Mare di Sardegna, istituita di recente ai sensi del D.Lgs. 169/2016, è l'ente pubblico dotato di autonomia amministrativa, finanziaria e di bilancio che gestisce il sistema portuale complesso di Cagliari e Sarroch.</w:t>
      </w:r>
    </w:p>
    <w:p>
      <w:pPr>
        <w:pStyle w:val="StandardWW"/>
        <w:spacing w:lineRule="auto" w:line="240"/>
        <w:rPr>
          <w:color w:val="000000"/>
        </w:rPr>
      </w:pPr>
      <w:r>
        <w:rPr>
          <w:color w:val="000000"/>
        </w:rPr>
      </w:r>
    </w:p>
    <w:p>
      <w:pPr>
        <w:pStyle w:val="FigureTabelle"/>
        <w:rPr/>
      </w:pPr>
      <w:r>
        <w:rPr/>
        <w:drawing>
          <wp:inline distT="0" distB="0" distL="0" distR="0">
            <wp:extent cx="5343525" cy="3581400"/>
            <wp:effectExtent l="0" t="0" r="0" b="0"/>
            <wp:docPr id="20" name="Immagine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20" descr=""/>
                    <pic:cNvPicPr>
                      <a:picLocks noChangeAspect="1" noChangeArrowheads="1"/>
                    </pic:cNvPicPr>
                  </pic:nvPicPr>
                  <pic:blipFill>
                    <a:blip r:embed="rId24"/>
                    <a:stretch>
                      <a:fillRect/>
                    </a:stretch>
                  </pic:blipFill>
                  <pic:spPr bwMode="auto">
                    <a:xfrm>
                      <a:off x="0" y="0"/>
                      <a:ext cx="5343525" cy="3581400"/>
                    </a:xfrm>
                    <a:prstGeom prst="rect">
                      <a:avLst/>
                    </a:prstGeom>
                  </pic:spPr>
                </pic:pic>
              </a:graphicData>
            </a:graphic>
          </wp:inline>
        </w:drawing>
      </w:r>
    </w:p>
    <w:p>
      <w:pPr>
        <w:pStyle w:val="Caption11"/>
        <w:rPr/>
      </w:pPr>
      <w:bookmarkStart w:id="96" w:name="_Toc171894447"/>
      <w:bookmarkStart w:id="97" w:name="_Toc171964369"/>
      <w:r>
        <w:rPr/>
        <w:t>Figura 9.</w:t>
      </w:r>
      <w:bookmarkEnd w:id="97"/>
      <w:r>
        <w:rPr/>
        <w:t>20</w:t>
      </w:r>
      <w:bookmarkEnd w:id="96"/>
    </w:p>
    <w:p>
      <w:pPr>
        <w:pStyle w:val="StandardWW"/>
        <w:spacing w:lineRule="auto" w:line="240"/>
        <w:rPr/>
      </w:pPr>
      <w:r>
        <w:rPr/>
      </w:r>
    </w:p>
    <w:p>
      <w:pPr>
        <w:pStyle w:val="NormaleCorpo"/>
        <w:rPr/>
      </w:pPr>
      <w:r>
        <w:rPr>
          <w:rFonts w:cs="Arial" w:ascii="Arial" w:hAnsi="Arial"/>
          <w:sz w:val="20"/>
          <w:szCs w:val="20"/>
        </w:rPr>
        <w:t>Le competenze dell'ente riguardano indirizzo, programmazione, coordinamento, promozione e controllo delle operazioni portuali e delle altre attività commerciali, industriali e petrolifere, di servizi passeggeri, di pesca, turistiche e crocieristiche. Ha poteri di regolamentazione e di ordinanza, anche in riferimento alla sicurezza.</w:t>
      </w:r>
    </w:p>
    <w:p>
      <w:pPr>
        <w:pStyle w:val="NormaleCorpo"/>
        <w:rPr/>
      </w:pPr>
      <w:r>
        <w:rPr>
          <w:rFonts w:cs="Arial" w:ascii="Arial" w:hAnsi="Arial"/>
          <w:sz w:val="20"/>
          <w:szCs w:val="20"/>
        </w:rPr>
        <w:t>Per perseguire questi scopi l'autorità Portuale attiva tutte le sinergie utili, pianifica le strategie di sviluppo e stabilisce piani di azione sia annuali sia pluriennali.</w:t>
      </w:r>
    </w:p>
    <w:p>
      <w:pPr>
        <w:pStyle w:val="NormaleCorpo"/>
        <w:rPr/>
      </w:pPr>
      <w:r>
        <w:rPr>
          <w:rFonts w:cs="Arial" w:ascii="Arial" w:hAnsi="Arial"/>
          <w:sz w:val="20"/>
          <w:szCs w:val="20"/>
        </w:rPr>
        <w:t>La legge consegna nelle mani dell'autorità portuale:</w:t>
      </w:r>
    </w:p>
    <w:p>
      <w:pPr>
        <w:pStyle w:val="NormaleCorpo"/>
        <w:numPr>
          <w:ilvl w:val="0"/>
          <w:numId w:val="14"/>
        </w:numPr>
        <w:rPr/>
      </w:pPr>
      <w:r>
        <w:rPr>
          <w:rFonts w:cs="Arial" w:ascii="Arial" w:hAnsi="Arial"/>
          <w:sz w:val="20"/>
          <w:szCs w:val="20"/>
        </w:rPr>
        <w:t>la responsabilità della manutenzione ordinaria e straordinaria delle parti comuni nell'ambito portuale;</w:t>
      </w:r>
    </w:p>
    <w:p>
      <w:pPr>
        <w:pStyle w:val="NormaleCorpo"/>
        <w:numPr>
          <w:ilvl w:val="0"/>
          <w:numId w:val="261"/>
        </w:numPr>
        <w:rPr/>
      </w:pPr>
      <w:r>
        <w:rPr>
          <w:rFonts w:cs="Arial" w:ascii="Arial" w:hAnsi="Arial"/>
          <w:color w:val="000000"/>
          <w:sz w:val="20"/>
          <w:szCs w:val="20"/>
        </w:rPr>
        <w:t>l'affidamento e il controllo delle attività dirette alla fornitura a titolo oneroso agli utenti portuali di servizi di interesse generale.</w:t>
      </w:r>
    </w:p>
    <w:p>
      <w:pPr>
        <w:pStyle w:val="StandardWW"/>
        <w:spacing w:lineRule="auto" w:line="240"/>
        <w:rPr>
          <w:color w:val="000000"/>
        </w:rPr>
      </w:pPr>
      <w:r>
        <w:rPr>
          <w:color w:val="000000"/>
        </w:rPr>
      </w:r>
    </w:p>
    <w:p>
      <w:pPr>
        <w:pStyle w:val="NormaleCorpo"/>
        <w:rPr/>
      </w:pPr>
      <w:r>
        <w:rPr>
          <w:rFonts w:cs="Arial" w:ascii="Arial" w:hAnsi="Arial"/>
          <w:sz w:val="20"/>
          <w:szCs w:val="20"/>
        </w:rPr>
        <w:t>Alle attività portuali, assimilabili a quelle industriali, si applicano i criteri definiti dalla normativa vigente in tema di risanamento acustico.</w:t>
      </w:r>
    </w:p>
    <w:p>
      <w:pPr>
        <w:pStyle w:val="NormaleCorpo"/>
        <w:rPr>
          <w:rFonts w:ascii="Arial" w:hAnsi="Arial" w:cs="Arial"/>
          <w:sz w:val="20"/>
          <w:szCs w:val="20"/>
        </w:rPr>
      </w:pPr>
      <w:r>
        <w:rPr>
          <w:rFonts w:cs="Arial" w:ascii="Arial" w:hAnsi="Arial"/>
          <w:sz w:val="20"/>
          <w:szCs w:val="20"/>
        </w:rPr>
      </w:r>
    </w:p>
    <w:p>
      <w:pPr>
        <w:pStyle w:val="NormaleCorpo"/>
        <w:rPr/>
      </w:pPr>
      <w:r>
        <w:rPr>
          <w:rFonts w:cs="Arial" w:ascii="Arial" w:hAnsi="Arial"/>
          <w:sz w:val="20"/>
          <w:szCs w:val="20"/>
        </w:rPr>
        <w:t>Al momento della stesura del presente documento non risulta che l'autorità portuale abbia presentato agli enti competenti un piano di risanamento acustico ai sensi della D.G.R. 62/9 del 14/11/2008.</w:t>
      </w:r>
    </w:p>
    <w:p>
      <w:pPr>
        <w:pStyle w:val="NormaleCorpo"/>
        <w:rPr/>
      </w:pPr>
      <w:r>
        <w:rPr>
          <w:rFonts w:cs="Arial" w:ascii="Arial" w:hAnsi="Arial"/>
          <w:sz w:val="20"/>
          <w:szCs w:val="20"/>
        </w:rPr>
        <w:t>Questo fatto dipende da tre ragioni fondamentali:</w:t>
      </w:r>
    </w:p>
    <w:p>
      <w:pPr>
        <w:pStyle w:val="NormaleCorpo"/>
        <w:numPr>
          <w:ilvl w:val="0"/>
          <w:numId w:val="15"/>
        </w:numPr>
        <w:rPr/>
      </w:pPr>
      <w:r>
        <w:rPr>
          <w:rFonts w:cs="Arial" w:ascii="Arial" w:hAnsi="Arial"/>
          <w:sz w:val="20"/>
          <w:szCs w:val="20"/>
        </w:rPr>
        <w:t>le strutture portuali, ad eccezione del porto storico in via Roma, sono collocate in ambiti lontani da potenziali ricettori;</w:t>
      </w:r>
    </w:p>
    <w:p>
      <w:pPr>
        <w:pStyle w:val="NormaleCorpo"/>
        <w:numPr>
          <w:ilvl w:val="0"/>
          <w:numId w:val="262"/>
        </w:numPr>
        <w:rPr/>
      </w:pPr>
      <w:r>
        <w:rPr>
          <w:rFonts w:cs="Arial" w:ascii="Arial" w:hAnsi="Arial"/>
          <w:sz w:val="20"/>
          <w:szCs w:val="20"/>
        </w:rPr>
        <w:t>il Comune di Cagliari con D.C.C. n.36/2016 si è dotato di piano di classificazione acustica (L.q. 447/1995 e smi) nel quale non sono state evidenziate criticità di tipo acustico tali da essere necessario un piano di risanamento acustico;</w:t>
      </w:r>
    </w:p>
    <w:p>
      <w:pPr>
        <w:pStyle w:val="NormaleCorpo"/>
        <w:numPr>
          <w:ilvl w:val="0"/>
          <w:numId w:val="263"/>
        </w:numPr>
        <w:rPr/>
      </w:pPr>
      <w:r>
        <w:rPr>
          <w:rFonts w:cs="Arial" w:ascii="Arial" w:hAnsi="Arial"/>
          <w:sz w:val="20"/>
          <w:szCs w:val="20"/>
        </w:rPr>
        <w:t>in base alla V.A.S. del PRG, approvata dal servizio S.A.V.I. dell'Assessorato Regionale Difesa Ambiente con determina n.10257/462 del 26/04/2010 (B.U.R.A.S. 25/05/2010) non risultano particolari criticità acustiche.</w:t>
      </w:r>
    </w:p>
    <w:p>
      <w:pPr>
        <w:pStyle w:val="Heading2"/>
        <w:numPr>
          <w:ilvl w:val="1"/>
          <w:numId w:val="264"/>
        </w:numPr>
        <w:rPr/>
      </w:pPr>
      <w:bookmarkStart w:id="98" w:name="__RefHeading__31_468148522"/>
      <w:bookmarkStart w:id="99" w:name="_Toc178778193"/>
      <w:bookmarkEnd w:id="98"/>
      <w:r>
        <w:rPr>
          <w:rFonts w:cs="Arial" w:ascii="Arial" w:hAnsi="Arial"/>
          <w:sz w:val="20"/>
          <w:szCs w:val="20"/>
        </w:rPr>
        <w:t>Piani di risanamento acustico delle imprese</w:t>
      </w:r>
      <w:bookmarkEnd w:id="99"/>
    </w:p>
    <w:p>
      <w:pPr>
        <w:pStyle w:val="StandardWW"/>
        <w:spacing w:lineRule="auto" w:line="240"/>
        <w:rPr/>
      </w:pPr>
      <w:r>
        <w:rPr/>
      </w:r>
    </w:p>
    <w:p>
      <w:pPr>
        <w:pStyle w:val="NormaleCorpo"/>
        <w:ind w:firstLine="340"/>
        <w:rPr/>
      </w:pPr>
      <w:r>
        <w:rPr>
          <w:rFonts w:cs="Arial" w:ascii="Arial" w:hAnsi="Arial"/>
          <w:sz w:val="20"/>
          <w:szCs w:val="20"/>
        </w:rPr>
        <w:t>I principali stabilimenti/attività industriali presenti nel territorio dell’Agglomerato di Cagliari, sono stati identificati attraverso criteri oggettivi come l'ubicazione all'interno di zone con classe acustica V/VI e/o il possesso di Autorizzazione Integrata Ambientale (A.I.A.).</w:t>
      </w:r>
    </w:p>
    <w:p>
      <w:pPr>
        <w:pStyle w:val="NormaleCorpo"/>
        <w:ind w:firstLine="708"/>
        <w:rPr/>
      </w:pPr>
      <w:r>
        <w:rPr>
          <w:rFonts w:cs="Arial" w:ascii="Arial" w:hAnsi="Arial"/>
          <w:sz w:val="20"/>
          <w:szCs w:val="20"/>
        </w:rPr>
        <w:t>Le direttive regionali, approvate con D.G.R. 62/9 del 14/11/2008, prevedono che nei comuni dotati di piano di classificazione acustica, gli stabilimenti/attività industriali, nel caso di superamento dei limiti previsti per la zona acustica di appartenenza, hanno l'obbligo di predisporre un piano di risanamento acustico il cui obiettivo è quello del contenimento dell'inquinamento acustico prodotto e il rispetto dei limiti di emissione e di immissione.</w:t>
      </w:r>
    </w:p>
    <w:p>
      <w:pPr>
        <w:pStyle w:val="NormaleCorpo"/>
        <w:ind w:firstLine="708"/>
        <w:rPr/>
      </w:pPr>
      <w:r>
        <w:rPr>
          <w:rFonts w:cs="Arial" w:ascii="Arial" w:hAnsi="Arial"/>
          <w:sz w:val="20"/>
          <w:szCs w:val="20"/>
        </w:rPr>
        <w:t>Occorre evidenziare che nessuno degli 11 stabilimenti/attività industriali, individuati nell’ambito della citata mappatura acustica (vedi tabella sottostante), ha presentato in fase di istruttoria particolari criticità sotto il profilo dell’impatto acustico indotto.</w:t>
      </w:r>
    </w:p>
    <w:p>
      <w:pPr>
        <w:pStyle w:val="StandardWW"/>
        <w:spacing w:lineRule="auto" w:line="240"/>
        <w:rPr>
          <w:color w:val="000000"/>
        </w:rPr>
      </w:pPr>
      <w:r>
        <w:rPr>
          <w:color w:val="000000"/>
        </w:rPr>
      </w:r>
    </w:p>
    <w:p>
      <w:pPr>
        <w:pStyle w:val="FigureTabelle"/>
        <w:rPr/>
      </w:pPr>
      <w:bookmarkStart w:id="100" w:name="_Toc171964399"/>
      <w:r>
        <w:rPr>
          <w:rFonts w:cs="Arial" w:ascii="Arial" w:hAnsi="Arial"/>
          <w:szCs w:val="20"/>
        </w:rPr>
        <w:t>Tabella 9.19 – Stabilimenti industriali</w:t>
      </w:r>
      <w:bookmarkEnd w:id="100"/>
    </w:p>
    <w:tbl>
      <w:tblPr>
        <w:tblW w:w="8955" w:type="dxa"/>
        <w:jc w:val="center"/>
        <w:tblInd w:w="0" w:type="dxa"/>
        <w:tblLayout w:type="fixed"/>
        <w:tblCellMar>
          <w:top w:w="0" w:type="dxa"/>
          <w:left w:w="70" w:type="dxa"/>
          <w:bottom w:w="0" w:type="dxa"/>
          <w:right w:w="70" w:type="dxa"/>
        </w:tblCellMar>
        <w:tblLook w:firstRow="0" w:noVBand="0" w:lastRow="0" w:firstColumn="0" w:lastColumn="0" w:noHBand="0" w:val="0000"/>
      </w:tblPr>
      <w:tblGrid>
        <w:gridCol w:w="1268"/>
        <w:gridCol w:w="1190"/>
        <w:gridCol w:w="1561"/>
        <w:gridCol w:w="3059"/>
        <w:gridCol w:w="1877"/>
      </w:tblGrid>
      <w:tr>
        <w:trPr>
          <w:tblHeader w:val="true"/>
          <w:trHeight w:val="358" w:hRule="atLeast"/>
        </w:trPr>
        <w:tc>
          <w:tcPr>
            <w:tcW w:w="1268"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b/>
                <w:bCs/>
              </w:rPr>
              <w:t>Ditta</w:t>
            </w:r>
          </w:p>
        </w:tc>
        <w:tc>
          <w:tcPr>
            <w:tcW w:w="1190"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b/>
                <w:bCs/>
              </w:rPr>
              <w:t>Comune</w:t>
            </w:r>
          </w:p>
        </w:tc>
        <w:tc>
          <w:tcPr>
            <w:tcW w:w="1561"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b/>
                <w:bCs/>
              </w:rPr>
              <w:t>Categoria</w:t>
            </w:r>
          </w:p>
          <w:p>
            <w:pPr>
              <w:pStyle w:val="StandardWW"/>
              <w:jc w:val="left"/>
              <w:rPr/>
            </w:pPr>
            <w:r>
              <w:rPr>
                <w:b/>
                <w:bCs/>
              </w:rPr>
              <w:t>D.Lgs 59/2005</w:t>
            </w:r>
          </w:p>
        </w:tc>
        <w:tc>
          <w:tcPr>
            <w:tcW w:w="3059"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b/>
                <w:bCs/>
              </w:rPr>
              <w:t>Descrizione categoria</w:t>
            </w:r>
          </w:p>
        </w:tc>
        <w:tc>
          <w:tcPr>
            <w:tcW w:w="1877" w:type="dxa"/>
            <w:tcBorders>
              <w:top w:val="single" w:sz="4" w:space="0" w:color="000001"/>
              <w:left w:val="single" w:sz="4" w:space="0" w:color="000001"/>
              <w:bottom w:val="single" w:sz="4" w:space="0" w:color="000001"/>
              <w:right w:val="single" w:sz="4" w:space="0" w:color="000001"/>
            </w:tcBorders>
            <w:shd w:color="auto" w:fill="FFFFFF" w:val="clear"/>
            <w:vAlign w:val="center"/>
          </w:tcPr>
          <w:p>
            <w:pPr>
              <w:pStyle w:val="StandardWW"/>
              <w:jc w:val="left"/>
              <w:rPr/>
            </w:pPr>
            <w:r>
              <w:rPr>
                <w:b/>
                <w:bCs/>
              </w:rPr>
              <w:t>Classificazione Acustica</w:t>
            </w:r>
          </w:p>
          <w:p>
            <w:pPr>
              <w:pStyle w:val="StandardWW"/>
              <w:jc w:val="left"/>
              <w:rPr/>
            </w:pPr>
            <w:r>
              <w:rPr>
                <w:b/>
                <w:bCs/>
              </w:rPr>
              <w:t>L.q. 447/1995</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Sanac</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3.5</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per la fabbricazione di prodotti ceramici mediante cottura</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Fornaci Scanu .</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Sestu</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3.5</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per la fabbricazione di prodotti ceramici mediante cottura</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Later Sistem</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Cagliari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3.5</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per la fabbricazione di prodotti ceramici mediante cottura</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Ecotec Gestione Impianti</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5.3</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per l'eliminazione di rifiuti non pericolosi (Dir 75/442/CEE)</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Air Liquid</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4.1</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chimici per la produzione di prodotti organici di base</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434"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Ecotravel</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Elmas</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5.1-5.2</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per l'eliminazione o il recupero di rifiuti pericolosi (Dir 75/442/CEE) / Impianti di incenerimento dei rifiuti urbani (Dir 89/429/CEE)</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w:t>
            </w:r>
          </w:p>
        </w:tc>
      </w:tr>
      <w:tr>
        <w:trPr>
          <w:trHeight w:val="434"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Syndial</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4.1-4.2-1.1</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chimici per la produzione di prodotti organici di base / Impianti di combustione con potenza termica di combustione di oltre 50MW</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326" w:hRule="atLeast"/>
        </w:trPr>
        <w:tc>
          <w:tcPr>
            <w:tcW w:w="1268"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Papiro Sarda</w:t>
            </w:r>
          </w:p>
        </w:tc>
        <w:tc>
          <w:tcPr>
            <w:tcW w:w="1190"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6.1</w:t>
            </w:r>
          </w:p>
        </w:tc>
        <w:tc>
          <w:tcPr>
            <w:tcW w:w="3059"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Impianti industriali destinati alla fabbricazione di carta a partire da legno o da altre materie fibrose</w:t>
            </w:r>
          </w:p>
        </w:tc>
        <w:tc>
          <w:tcPr>
            <w:tcW w:w="1877" w:type="dxa"/>
            <w:tcBorders>
              <w:top w:val="single" w:sz="4" w:space="0" w:color="000001"/>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217" w:hRule="atLeast"/>
        </w:trPr>
        <w:tc>
          <w:tcPr>
            <w:tcW w:w="1268"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Fluorsid</w:t>
            </w:r>
          </w:p>
        </w:tc>
        <w:tc>
          <w:tcPr>
            <w:tcW w:w="1190"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4.2</w:t>
            </w:r>
          </w:p>
        </w:tc>
        <w:tc>
          <w:tcPr>
            <w:tcW w:w="3059" w:type="dxa"/>
            <w:tcBorders>
              <w:top w:val="single" w:sz="4" w:space="0" w:color="000001"/>
              <w:left w:val="single" w:sz="4" w:space="0" w:color="000001"/>
              <w:bottom w:val="single" w:sz="4" w:space="0" w:color="000001"/>
            </w:tcBorders>
            <w:shd w:color="auto" w:fill="FFFFFF" w:val="clear"/>
            <w:vAlign w:val="center"/>
          </w:tcPr>
          <w:p>
            <w:pPr>
              <w:pStyle w:val="StandardWW"/>
              <w:jc w:val="left"/>
              <w:rPr/>
            </w:pPr>
            <w:r>
              <w:rPr/>
              <w:t>Impianti chimici per la produzione di prodotti organici di base</w:t>
            </w:r>
          </w:p>
        </w:tc>
        <w:tc>
          <w:tcPr>
            <w:tcW w:w="1877" w:type="dxa"/>
            <w:tcBorders>
              <w:top w:val="single" w:sz="4" w:space="0" w:color="000001"/>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Enel</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1.1</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Impianti di combustione con potenza calorifica di combustione &gt; 50Mw</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VI</w:t>
            </w:r>
          </w:p>
        </w:tc>
      </w:tr>
      <w:tr>
        <w:trPr>
          <w:trHeight w:val="217" w:hRule="atLeast"/>
        </w:trPr>
        <w:tc>
          <w:tcPr>
            <w:tcW w:w="1268" w:type="dxa"/>
            <w:tcBorders>
              <w:left w:val="single" w:sz="4" w:space="0" w:color="000001"/>
              <w:bottom w:val="single" w:sz="4" w:space="0" w:color="000001"/>
            </w:tcBorders>
            <w:shd w:color="auto" w:fill="FFFFFF" w:val="clear"/>
            <w:vAlign w:val="center"/>
          </w:tcPr>
          <w:p>
            <w:pPr>
              <w:pStyle w:val="StandardWW"/>
              <w:jc w:val="left"/>
              <w:rPr/>
            </w:pPr>
            <w:r>
              <w:rPr/>
              <w:t>Heineken</w:t>
            </w:r>
          </w:p>
        </w:tc>
        <w:tc>
          <w:tcPr>
            <w:tcW w:w="1190" w:type="dxa"/>
            <w:tcBorders>
              <w:left w:val="single" w:sz="4" w:space="0" w:color="000001"/>
              <w:bottom w:val="single" w:sz="4" w:space="0" w:color="000001"/>
            </w:tcBorders>
            <w:shd w:color="auto" w:fill="FFFFFF" w:val="clear"/>
            <w:vAlign w:val="center"/>
          </w:tcPr>
          <w:p>
            <w:pPr>
              <w:pStyle w:val="StandardWW"/>
              <w:jc w:val="left"/>
              <w:rPr/>
            </w:pPr>
            <w:r>
              <w:rPr/>
              <w:t>Assemini</w:t>
            </w:r>
          </w:p>
        </w:tc>
        <w:tc>
          <w:tcPr>
            <w:tcW w:w="1561" w:type="dxa"/>
            <w:tcBorders>
              <w:left w:val="single" w:sz="4" w:space="0" w:color="000001"/>
              <w:bottom w:val="single" w:sz="4" w:space="0" w:color="000001"/>
            </w:tcBorders>
            <w:shd w:color="auto" w:fill="FFFFFF" w:val="clear"/>
            <w:vAlign w:val="center"/>
          </w:tcPr>
          <w:p>
            <w:pPr>
              <w:pStyle w:val="StandardWW"/>
              <w:jc w:val="left"/>
              <w:rPr/>
            </w:pPr>
            <w:r>
              <w:rPr/>
              <w:t>6.4</w:t>
            </w:r>
          </w:p>
        </w:tc>
        <w:tc>
          <w:tcPr>
            <w:tcW w:w="3059" w:type="dxa"/>
            <w:tcBorders>
              <w:left w:val="single" w:sz="4" w:space="0" w:color="000001"/>
              <w:bottom w:val="single" w:sz="4" w:space="0" w:color="000001"/>
            </w:tcBorders>
            <w:shd w:color="auto" w:fill="FFFFFF" w:val="clear"/>
            <w:vAlign w:val="center"/>
          </w:tcPr>
          <w:p>
            <w:pPr>
              <w:pStyle w:val="StandardWW"/>
              <w:jc w:val="left"/>
              <w:rPr/>
            </w:pPr>
            <w:r>
              <w:rPr/>
              <w:t>Lavorazione di materie prime vegetali per la produzione di prodotti finiti con capacità &gt; 300 t/giorno</w:t>
            </w:r>
          </w:p>
        </w:tc>
        <w:tc>
          <w:tcPr>
            <w:tcW w:w="1877" w:type="dxa"/>
            <w:tcBorders>
              <w:left w:val="single" w:sz="4" w:space="0" w:color="000001"/>
              <w:bottom w:val="single" w:sz="4" w:space="0" w:color="000001"/>
              <w:right w:val="single" w:sz="4" w:space="0" w:color="000001"/>
            </w:tcBorders>
            <w:shd w:color="auto" w:fill="FFFFFF" w:val="clear"/>
            <w:vAlign w:val="center"/>
          </w:tcPr>
          <w:p>
            <w:pPr>
              <w:pStyle w:val="StandardWW"/>
              <w:jc w:val="left"/>
              <w:rPr/>
            </w:pPr>
            <w:r>
              <w:rPr/>
              <w:t>V</w:t>
            </w:r>
          </w:p>
        </w:tc>
      </w:tr>
    </w:tbl>
    <w:p>
      <w:pPr>
        <w:pStyle w:val="StandardWW"/>
        <w:spacing w:lineRule="auto" w:line="240"/>
        <w:rPr>
          <w:color w:val="000000"/>
        </w:rPr>
      </w:pPr>
      <w:r>
        <w:rPr>
          <w:color w:val="000000"/>
        </w:rPr>
      </w:r>
    </w:p>
    <w:p>
      <w:pPr>
        <w:pStyle w:val="NormaleCorpo"/>
        <w:rPr/>
      </w:pPr>
      <w:r>
        <w:rPr>
          <w:rFonts w:cs="Arial" w:ascii="Arial" w:hAnsi="Arial"/>
          <w:sz w:val="20"/>
          <w:szCs w:val="20"/>
        </w:rPr>
        <w:t>Questo fatto dipende dal fatto che le aziende sono prevalentemente collocate in ambiti industriali, lontani da potenziali ricettori;</w:t>
      </w:r>
    </w:p>
    <w:p>
      <w:pPr>
        <w:pStyle w:val="NormaleCorpo"/>
        <w:rPr>
          <w:rFonts w:ascii="Arial" w:hAnsi="Arial" w:cs="Arial"/>
          <w:sz w:val="20"/>
          <w:szCs w:val="20"/>
        </w:rPr>
      </w:pPr>
      <w:r>
        <w:rPr>
          <w:rFonts w:cs="Arial" w:ascii="Arial" w:hAnsi="Arial"/>
          <w:sz w:val="20"/>
          <w:szCs w:val="20"/>
        </w:rPr>
      </w:r>
    </w:p>
    <w:p>
      <w:pPr>
        <w:pStyle w:val="NormaleCorpo"/>
        <w:rPr/>
      </w:pPr>
      <w:r>
        <w:rPr>
          <w:rFonts w:cs="Arial" w:ascii="Arial" w:hAnsi="Arial"/>
          <w:sz w:val="20"/>
          <w:szCs w:val="20"/>
        </w:rPr>
        <w:t>La Regione Sardegna, con la D.G.R. 62/9 del 14/11/2008, ha previsto gli adempimenti che gli stabilimenti/attività devono rispettare. Si riporta a tal proposito un estratto della normativa regionale sarda.</w:t>
      </w:r>
    </w:p>
    <w:p>
      <w:pPr>
        <w:pStyle w:val="StandardWW"/>
        <w:spacing w:lineRule="auto" w:line="240"/>
        <w:rPr>
          <w:color w:val="000000"/>
        </w:rPr>
      </w:pPr>
      <w:r>
        <w:rPr>
          <w:color w:val="000000"/>
        </w:rPr>
      </w:r>
    </w:p>
    <w:p>
      <w:pPr>
        <w:pStyle w:val="Heading4"/>
        <w:numPr>
          <w:ilvl w:val="3"/>
          <w:numId w:val="265"/>
        </w:numPr>
        <w:rPr/>
      </w:pPr>
      <w:r>
        <w:rPr>
          <w:rFonts w:cs="Arial" w:ascii="Arial" w:hAnsi="Arial"/>
          <w:sz w:val="20"/>
          <w:szCs w:val="20"/>
        </w:rPr>
        <w:t>Piani di risanamento acustico delle imprese.</w:t>
      </w:r>
    </w:p>
    <w:p>
      <w:pPr>
        <w:pStyle w:val="NormaleCorpo"/>
        <w:spacing w:lineRule="auto" w:line="360"/>
        <w:rPr/>
      </w:pPr>
      <w:r>
        <w:rPr>
          <w:rFonts w:cs="Arial" w:ascii="Arial" w:hAnsi="Arial"/>
          <w:sz w:val="20"/>
          <w:szCs w:val="20"/>
        </w:rPr>
        <w:t>Entro sei mesi dall’adozione da parte dei Comuni del Piano di classificazione acustica, le imprese interessate, ai sensi del comma 2 dell’art.15 della sopra citata L. n.447/95, devono presentare al Comune un piano di risanamento acustico, comprensivo di elaborati grafici e relazione tecnica, con indicato</w:t>
      </w:r>
    </w:p>
    <w:p>
      <w:pPr>
        <w:pStyle w:val="NormaleCorpo"/>
        <w:spacing w:lineRule="auto" w:line="360"/>
        <w:rPr/>
      </w:pPr>
      <w:r>
        <w:rPr>
          <w:rFonts w:cs="Arial" w:ascii="Arial" w:hAnsi="Arial"/>
          <w:sz w:val="20"/>
          <w:szCs w:val="20"/>
        </w:rPr>
        <w:t>il termine entro il quale l’impresa prevede di adeguarsi ai limiti previsti.</w:t>
      </w:r>
    </w:p>
    <w:p>
      <w:pPr>
        <w:pStyle w:val="NormaleCorpo"/>
        <w:spacing w:lineRule="auto" w:line="360"/>
        <w:rPr/>
      </w:pPr>
      <w:r>
        <w:rPr>
          <w:rFonts w:cs="Arial" w:ascii="Arial" w:hAnsi="Arial"/>
          <w:sz w:val="20"/>
          <w:szCs w:val="20"/>
        </w:rPr>
        <w:t>I sopra indicati elaborati dovranno contenere:</w:t>
      </w:r>
    </w:p>
    <w:p>
      <w:pPr>
        <w:pStyle w:val="NormaleCorpo"/>
        <w:numPr>
          <w:ilvl w:val="0"/>
          <w:numId w:val="16"/>
        </w:numPr>
        <w:spacing w:lineRule="auto" w:line="360"/>
        <w:rPr/>
      </w:pPr>
      <w:r>
        <w:rPr>
          <w:rFonts w:cs="Arial" w:ascii="Arial" w:hAnsi="Arial"/>
          <w:sz w:val="20"/>
          <w:szCs w:val="20"/>
        </w:rPr>
        <w:t>l’indicazione della tipologia di attività con codice relativo, secondo classificazione ISTAT;</w:t>
      </w:r>
    </w:p>
    <w:p>
      <w:pPr>
        <w:pStyle w:val="NormaleCorpo"/>
        <w:numPr>
          <w:ilvl w:val="0"/>
          <w:numId w:val="266"/>
        </w:numPr>
        <w:spacing w:lineRule="auto" w:line="360"/>
        <w:rPr/>
      </w:pPr>
      <w:r>
        <w:rPr>
          <w:rFonts w:cs="Arial" w:ascii="Arial" w:hAnsi="Arial"/>
          <w:sz w:val="20"/>
          <w:szCs w:val="20"/>
        </w:rPr>
        <w:t>l’ubicazione dell’insediamento con riportata la zona acustica di appartenenza, in base a quanto previsto</w:t>
      </w:r>
    </w:p>
    <w:p>
      <w:pPr>
        <w:pStyle w:val="NormaleCorpo"/>
        <w:numPr>
          <w:ilvl w:val="0"/>
          <w:numId w:val="267"/>
        </w:numPr>
        <w:spacing w:lineRule="auto" w:line="360"/>
        <w:rPr/>
      </w:pPr>
      <w:r>
        <w:rPr>
          <w:rFonts w:cs="Arial" w:ascii="Arial" w:hAnsi="Arial"/>
          <w:sz w:val="20"/>
          <w:szCs w:val="20"/>
        </w:rPr>
        <w:t>dal Piano di classificazione acustica;</w:t>
      </w:r>
    </w:p>
    <w:p>
      <w:pPr>
        <w:pStyle w:val="NormaleCorpo"/>
        <w:numPr>
          <w:ilvl w:val="0"/>
          <w:numId w:val="268"/>
        </w:numPr>
        <w:spacing w:lineRule="auto" w:line="360"/>
        <w:rPr/>
      </w:pPr>
      <w:r>
        <w:rPr>
          <w:rFonts w:cs="Arial" w:ascii="Arial" w:hAnsi="Arial"/>
          <w:sz w:val="20"/>
          <w:szCs w:val="20"/>
        </w:rPr>
        <w:t>la descrizione delle attività, dei cicli tecnologici e delle attrezzature e impianti esistenti;</w:t>
      </w:r>
    </w:p>
    <w:p>
      <w:pPr>
        <w:pStyle w:val="NormaleCorpo"/>
        <w:numPr>
          <w:ilvl w:val="0"/>
          <w:numId w:val="269"/>
        </w:numPr>
        <w:spacing w:lineRule="auto" w:line="360"/>
        <w:rPr/>
      </w:pPr>
      <w:r>
        <w:rPr>
          <w:rFonts w:cs="Arial" w:ascii="Arial" w:hAnsi="Arial"/>
          <w:sz w:val="20"/>
          <w:szCs w:val="20"/>
        </w:rPr>
        <w:t>l’elenco e la descrizione delle apparecchiature che danno luogo ad immissione di rumore nell’ambiente esterno, nonché l’indicazione dell’ubicazione delle sorgenti sonore connesse all’attività;</w:t>
      </w:r>
    </w:p>
    <w:p>
      <w:pPr>
        <w:pStyle w:val="NormaleCorpo"/>
        <w:numPr>
          <w:ilvl w:val="0"/>
          <w:numId w:val="17"/>
        </w:numPr>
        <w:spacing w:lineRule="auto" w:line="360"/>
        <w:rPr/>
      </w:pPr>
      <w:r>
        <w:rPr>
          <w:rFonts w:cs="Arial" w:ascii="Arial" w:hAnsi="Arial"/>
          <w:sz w:val="20"/>
          <w:szCs w:val="20"/>
        </w:rPr>
        <w:t>la durata dei periodi di attività (diurni e notturni), della loro frequenza e della contemporaneità di esercizio delle sorgenti sonore, nonché le condizioni di esercizio relative al massimo livello di rumore immesso nell’ambiente;</w:t>
      </w:r>
    </w:p>
    <w:p>
      <w:pPr>
        <w:pStyle w:val="NormaleCorpo"/>
        <w:numPr>
          <w:ilvl w:val="0"/>
          <w:numId w:val="270"/>
        </w:numPr>
        <w:spacing w:lineRule="auto" w:line="360"/>
        <w:rPr/>
      </w:pPr>
      <w:r>
        <w:rPr>
          <w:rFonts w:cs="Arial" w:ascii="Arial" w:hAnsi="Arial"/>
          <w:sz w:val="20"/>
          <w:szCs w:val="20"/>
        </w:rPr>
        <w:t>i dati relativi alle misurazioni fonometriche effettuate;</w:t>
      </w:r>
    </w:p>
    <w:p>
      <w:pPr>
        <w:pStyle w:val="NormaleCorpo"/>
        <w:numPr>
          <w:ilvl w:val="0"/>
          <w:numId w:val="271"/>
        </w:numPr>
        <w:spacing w:lineRule="auto" w:line="360"/>
        <w:rPr/>
      </w:pPr>
      <w:r>
        <w:rPr>
          <w:rFonts w:cs="Arial" w:ascii="Arial" w:hAnsi="Arial"/>
          <w:sz w:val="20"/>
          <w:szCs w:val="20"/>
        </w:rPr>
        <w:t>le modalità e i tempi di esecuzione del progetto di risanamento, che non potrà superare i 24 mesi.</w:t>
      </w:r>
    </w:p>
    <w:p>
      <w:pPr>
        <w:pStyle w:val="NormaleCorpo"/>
        <w:spacing w:lineRule="auto" w:line="360"/>
        <w:rPr/>
      </w:pPr>
      <w:r>
        <w:rPr>
          <w:rFonts w:cs="Arial" w:ascii="Arial" w:hAnsi="Arial"/>
          <w:sz w:val="20"/>
          <w:szCs w:val="20"/>
        </w:rPr>
        <w:t>Il Comune, esaminato il progetto di risanamento, la congruità dei tempi e la complessità dell’intervento, approva il suddetto progetto con eventuali prescrizioni.</w:t>
      </w:r>
    </w:p>
    <w:p>
      <w:pPr>
        <w:pStyle w:val="NormaleCorpo"/>
        <w:spacing w:lineRule="auto" w:line="360"/>
        <w:rPr/>
      </w:pPr>
      <w:r>
        <w:rPr>
          <w:rFonts w:cs="Arial" w:ascii="Arial" w:hAnsi="Arial"/>
          <w:sz w:val="20"/>
          <w:szCs w:val="20"/>
        </w:rPr>
        <w:t>Qualora il Comune non si pronunci sul progetto di risanamento presentato dall’impresa entro centottanta giorni, l’impresa comunque è vincolata a realizzarlo con le modalità ed i tempi previsti.</w:t>
      </w:r>
    </w:p>
    <w:p>
      <w:pPr>
        <w:pStyle w:val="NormaleCorpo"/>
        <w:spacing w:lineRule="auto" w:line="360"/>
        <w:rPr/>
      </w:pPr>
      <w:r>
        <w:rPr>
          <w:rFonts w:cs="Arial" w:ascii="Arial" w:hAnsi="Arial"/>
          <w:sz w:val="20"/>
          <w:szCs w:val="20"/>
        </w:rPr>
        <w:t>Le imprese che non presentano il piano di risanamento di cui al comma 1 devono adeguarsi ai limiti fissati dalla suddivisione in classi del territorio comunale entro 6 mesi dall’adozione del Piano di classificazione acustica comunale.</w:t>
      </w:r>
    </w:p>
    <w:p>
      <w:pPr>
        <w:pStyle w:val="StandardWW"/>
        <w:spacing w:lineRule="auto" w:line="240"/>
        <w:rPr>
          <w:i/>
          <w:i/>
          <w:iCs/>
        </w:rPr>
      </w:pPr>
      <w:r>
        <w:rPr>
          <w:i/>
          <w:iCs/>
        </w:rPr>
      </w:r>
    </w:p>
    <w:p>
      <w:pPr>
        <w:pStyle w:val="Heading1"/>
        <w:numPr>
          <w:ilvl w:val="0"/>
          <w:numId w:val="272"/>
        </w:numPr>
        <w:rPr/>
      </w:pPr>
      <w:bookmarkStart w:id="101" w:name="__RefHeading__35_468148522"/>
      <w:bookmarkStart w:id="102" w:name="_Toc178778194"/>
      <w:bookmarkEnd w:id="101"/>
      <w:r>
        <w:rPr/>
        <w:t>Piani comunali di risanamento acustico</w:t>
      </w:r>
      <w:bookmarkEnd w:id="102"/>
    </w:p>
    <w:p>
      <w:pPr>
        <w:pStyle w:val="StandardWW"/>
        <w:spacing w:lineRule="auto" w:line="240"/>
        <w:rPr/>
      </w:pPr>
      <w:r>
        <w:rPr/>
      </w:r>
    </w:p>
    <w:p>
      <w:pPr>
        <w:pStyle w:val="NormaleCorpo"/>
        <w:rPr/>
      </w:pPr>
      <w:r>
        <w:rPr>
          <w:rFonts w:cs="Arial" w:ascii="Arial" w:hAnsi="Arial"/>
          <w:sz w:val="20"/>
          <w:szCs w:val="20"/>
        </w:rPr>
        <w:t>Per le amministrazioni comunali è prevista l'adozione di appositi piani comunali di risanamento acustico comprendenti provvedimenti di varia natura: amministrativi, normativi-regolamentari e tecnici.</w:t>
      </w:r>
    </w:p>
    <w:p>
      <w:pPr>
        <w:pStyle w:val="NormaleCorpo"/>
        <w:rPr/>
      </w:pPr>
      <w:r>
        <w:rPr>
          <w:rFonts w:cs="Arial" w:ascii="Arial" w:hAnsi="Arial"/>
          <w:sz w:val="20"/>
          <w:szCs w:val="20"/>
        </w:rPr>
        <w:t>La predisposizione di un Piano di Risanamento Acustico comprende lo sviluppo delle seguenti azioni:</w:t>
      </w:r>
    </w:p>
    <w:p>
      <w:pPr>
        <w:pStyle w:val="NormaleCorpo"/>
        <w:numPr>
          <w:ilvl w:val="0"/>
          <w:numId w:val="18"/>
        </w:numPr>
        <w:rPr/>
      </w:pPr>
      <w:r>
        <w:rPr>
          <w:rFonts w:cs="Arial" w:ascii="Arial" w:hAnsi="Arial"/>
          <w:sz w:val="20"/>
          <w:szCs w:val="20"/>
        </w:rPr>
        <w:t>analisi del piano comunale di classificazione acustica;</w:t>
      </w:r>
    </w:p>
    <w:p>
      <w:pPr>
        <w:pStyle w:val="NormaleCorpo"/>
        <w:numPr>
          <w:ilvl w:val="0"/>
          <w:numId w:val="273"/>
        </w:numPr>
        <w:rPr/>
      </w:pPr>
      <w:r>
        <w:rPr>
          <w:rFonts w:cs="Arial" w:ascii="Arial" w:hAnsi="Arial"/>
          <w:sz w:val="20"/>
          <w:szCs w:val="20"/>
        </w:rPr>
        <w:t>analisi delle infrastrutture di trasporto di competenza comunale;</w:t>
      </w:r>
    </w:p>
    <w:p>
      <w:pPr>
        <w:pStyle w:val="NormaleCorpo"/>
        <w:numPr>
          <w:ilvl w:val="0"/>
          <w:numId w:val="274"/>
        </w:numPr>
        <w:rPr/>
      </w:pPr>
      <w:r>
        <w:rPr>
          <w:rFonts w:cs="Arial" w:ascii="Arial" w:hAnsi="Arial"/>
          <w:sz w:val="20"/>
          <w:szCs w:val="20"/>
        </w:rPr>
        <w:t>analisi dei piani di risanamento acustico delle attività produttive;</w:t>
      </w:r>
    </w:p>
    <w:p>
      <w:pPr>
        <w:pStyle w:val="NormaleCorpo"/>
        <w:numPr>
          <w:ilvl w:val="0"/>
          <w:numId w:val="275"/>
        </w:numPr>
        <w:rPr/>
      </w:pPr>
      <w:r>
        <w:rPr>
          <w:rFonts w:cs="Arial" w:ascii="Arial" w:hAnsi="Arial"/>
          <w:sz w:val="20"/>
          <w:szCs w:val="20"/>
        </w:rPr>
        <w:t>definizione degli interventi di risanamento;</w:t>
      </w:r>
    </w:p>
    <w:p>
      <w:pPr>
        <w:pStyle w:val="NormaleCorpo"/>
        <w:numPr>
          <w:ilvl w:val="0"/>
          <w:numId w:val="276"/>
        </w:numPr>
        <w:rPr/>
      </w:pPr>
      <w:r>
        <w:rPr>
          <w:rFonts w:cs="Arial" w:ascii="Arial" w:hAnsi="Arial"/>
          <w:sz w:val="20"/>
          <w:szCs w:val="20"/>
        </w:rPr>
        <w:t>elaborazione del piano comunale di risanamento acustico.</w:t>
      </w:r>
    </w:p>
    <w:p>
      <w:pPr>
        <w:pStyle w:val="StandardWW"/>
        <w:spacing w:lineRule="auto" w:line="240"/>
        <w:rPr/>
      </w:pPr>
      <w:r>
        <w:rPr/>
      </w:r>
    </w:p>
    <w:p>
      <w:pPr>
        <w:pStyle w:val="NormaleCorpo"/>
        <w:rPr/>
      </w:pPr>
      <w:r>
        <w:rPr>
          <w:rFonts w:cs="Arial" w:ascii="Arial" w:hAnsi="Arial"/>
          <w:sz w:val="20"/>
          <w:szCs w:val="20"/>
        </w:rPr>
        <w:t>La D.G.R. n.62/9 del 2008 ha definito nella Parte II i requisiti dei piani comunali di risanamento acustico e di seguito si riporta un estratto.</w:t>
      </w:r>
    </w:p>
    <w:p>
      <w:pPr>
        <w:pStyle w:val="StandardWW"/>
        <w:spacing w:lineRule="auto" w:line="240"/>
        <w:rPr/>
      </w:pPr>
      <w:r>
        <w:rPr/>
      </w:r>
    </w:p>
    <w:p>
      <w:pPr>
        <w:pStyle w:val="NormaleCorpo"/>
        <w:spacing w:lineRule="auto" w:line="360"/>
        <w:rPr/>
      </w:pPr>
      <w:r>
        <w:rPr>
          <w:rFonts w:cs="Arial" w:ascii="Arial" w:hAnsi="Arial"/>
          <w:b/>
          <w:bCs/>
          <w:sz w:val="20"/>
          <w:szCs w:val="20"/>
        </w:rPr>
        <w:t>Piani di risanamento comunali.</w:t>
      </w:r>
    </w:p>
    <w:p>
      <w:pPr>
        <w:pStyle w:val="NormaleCorpo"/>
        <w:spacing w:lineRule="auto" w:line="360"/>
        <w:rPr/>
      </w:pPr>
      <w:r>
        <w:rPr>
          <w:rFonts w:cs="Arial" w:ascii="Arial" w:hAnsi="Arial"/>
          <w:sz w:val="20"/>
          <w:szCs w:val="20"/>
        </w:rPr>
        <w:t>Sulla base delle criticità emerse nel Piano di classificazione acustica e nel caso di superamento dei valori di attenzione di cui all’art.6 del D.P.C.M. 14 novembre 1997, nonché nel caso previsto dal comma 1 lett. a) dell’art.4 della legge n. n.447/95, i Comuni predispongono e adottano il Piano comunale di risanamento acustico ai sensi dell’art.7 della sopra citata legge.</w:t>
      </w:r>
    </w:p>
    <w:p>
      <w:pPr>
        <w:pStyle w:val="NormaleCorpo"/>
        <w:spacing w:lineRule="auto" w:line="360"/>
        <w:rPr/>
      </w:pPr>
      <w:r>
        <w:rPr>
          <w:rFonts w:cs="Arial" w:ascii="Arial" w:hAnsi="Arial"/>
          <w:sz w:val="20"/>
          <w:szCs w:val="20"/>
        </w:rPr>
        <w:t>Il Piano di risanamento acustico, redatto anche a firma di un tecnico competente in acustica ambientale, dovrà specificare i singoli interventi e dovrà contenere in particolare:</w:t>
      </w:r>
    </w:p>
    <w:p>
      <w:pPr>
        <w:pStyle w:val="NormaleCorpo"/>
        <w:numPr>
          <w:ilvl w:val="1"/>
          <w:numId w:val="2"/>
        </w:numPr>
        <w:spacing w:lineRule="auto" w:line="360"/>
        <w:rPr/>
      </w:pPr>
      <w:r>
        <w:rPr>
          <w:rFonts w:cs="Arial" w:ascii="Arial" w:hAnsi="Arial"/>
          <w:sz w:val="20"/>
          <w:szCs w:val="20"/>
        </w:rPr>
        <w:t>l’elenco delle sorgenti sonore i cui valori di emissione acustica risultino superiori a quelli consentiti dalla normativa vigente;</w:t>
      </w:r>
    </w:p>
    <w:p>
      <w:pPr>
        <w:pStyle w:val="NormaleCorpo"/>
        <w:numPr>
          <w:ilvl w:val="1"/>
          <w:numId w:val="2"/>
        </w:numPr>
        <w:spacing w:lineRule="auto" w:line="360"/>
        <w:rPr/>
      </w:pPr>
      <w:r>
        <w:rPr>
          <w:rFonts w:cs="Arial" w:ascii="Arial" w:hAnsi="Arial"/>
          <w:sz w:val="20"/>
          <w:szCs w:val="20"/>
        </w:rPr>
        <w:t>la rappresentazione grafica delle sorgenti da individuarsi in scala 1:5000, o anche 1:2000 per le zone più densamente urbanizzate e nel caso di piccoli Comuni, e in scala 1:10.000 per la restante parte del territorio;</w:t>
      </w:r>
    </w:p>
    <w:p>
      <w:pPr>
        <w:pStyle w:val="NormaleCorpo"/>
        <w:numPr>
          <w:ilvl w:val="1"/>
          <w:numId w:val="2"/>
        </w:numPr>
        <w:spacing w:lineRule="auto" w:line="360"/>
        <w:rPr/>
      </w:pPr>
      <w:r>
        <w:rPr>
          <w:rFonts w:cs="Arial" w:ascii="Arial" w:hAnsi="Arial"/>
          <w:sz w:val="20"/>
          <w:szCs w:val="20"/>
        </w:rPr>
        <w:t>i dati relativi alle misurazioni fonometriche delle sorgenti oggetto di studio con l’indicazione dei livelli acustici da raggiungere;</w:t>
      </w:r>
    </w:p>
    <w:p>
      <w:pPr>
        <w:pStyle w:val="NormaleCorpo"/>
        <w:numPr>
          <w:ilvl w:val="1"/>
          <w:numId w:val="2"/>
        </w:numPr>
        <w:spacing w:lineRule="auto" w:line="360"/>
        <w:rPr/>
      </w:pPr>
      <w:r>
        <w:rPr>
          <w:rFonts w:cs="Arial" w:ascii="Arial" w:hAnsi="Arial"/>
          <w:sz w:val="20"/>
          <w:szCs w:val="20"/>
        </w:rPr>
        <w:t>i soggetti cui compete l’intervento di risanamento;</w:t>
      </w:r>
    </w:p>
    <w:p>
      <w:pPr>
        <w:pStyle w:val="NormaleCorpo"/>
        <w:numPr>
          <w:ilvl w:val="1"/>
          <w:numId w:val="2"/>
        </w:numPr>
        <w:spacing w:lineRule="auto" w:line="360"/>
        <w:rPr/>
      </w:pPr>
      <w:r>
        <w:rPr>
          <w:rFonts w:cs="Arial" w:ascii="Arial" w:hAnsi="Arial"/>
          <w:sz w:val="20"/>
          <w:szCs w:val="20"/>
        </w:rPr>
        <w:t>le modalità d’intervento;</w:t>
      </w:r>
    </w:p>
    <w:p>
      <w:pPr>
        <w:pStyle w:val="NormaleCorpo"/>
        <w:numPr>
          <w:ilvl w:val="1"/>
          <w:numId w:val="2"/>
        </w:numPr>
        <w:spacing w:lineRule="auto" w:line="360"/>
        <w:rPr/>
      </w:pPr>
      <w:r>
        <w:rPr>
          <w:rFonts w:cs="Arial" w:ascii="Arial" w:hAnsi="Arial"/>
          <w:sz w:val="20"/>
          <w:szCs w:val="20"/>
        </w:rPr>
        <w:t>le priorità e i tempi previsti per il risanamento ambientale;</w:t>
      </w:r>
    </w:p>
    <w:p>
      <w:pPr>
        <w:pStyle w:val="NormaleCorpo"/>
        <w:numPr>
          <w:ilvl w:val="1"/>
          <w:numId w:val="2"/>
        </w:numPr>
        <w:spacing w:lineRule="auto" w:line="360"/>
        <w:rPr/>
      </w:pPr>
      <w:r>
        <w:rPr>
          <w:rFonts w:cs="Arial" w:ascii="Arial" w:hAnsi="Arial"/>
          <w:sz w:val="20"/>
          <w:szCs w:val="20"/>
        </w:rPr>
        <w:t>la stima degli oneri finanziari;</w:t>
      </w:r>
    </w:p>
    <w:p>
      <w:pPr>
        <w:pStyle w:val="NormaleCorpo"/>
        <w:numPr>
          <w:ilvl w:val="1"/>
          <w:numId w:val="2"/>
        </w:numPr>
        <w:spacing w:lineRule="auto" w:line="360"/>
        <w:rPr/>
      </w:pPr>
      <w:r>
        <w:rPr>
          <w:rFonts w:cs="Arial" w:ascii="Arial" w:hAnsi="Arial"/>
          <w:sz w:val="20"/>
          <w:szCs w:val="20"/>
        </w:rPr>
        <w:t>gli eventuali interventi cautelativi, a carattere d’urgenza, per la tutela dell’ambiente e della salute pubblica.</w:t>
      </w:r>
    </w:p>
    <w:p>
      <w:pPr>
        <w:pStyle w:val="NormaleCorpo"/>
        <w:spacing w:lineRule="auto" w:line="360"/>
        <w:rPr/>
      </w:pPr>
      <w:r>
        <w:rPr>
          <w:rFonts w:cs="Arial" w:ascii="Arial" w:hAnsi="Arial"/>
          <w:sz w:val="20"/>
          <w:szCs w:val="20"/>
        </w:rPr>
        <w:t>L’Amministrazione comunale redige ed approva con proprio provvedimento amministrativo il Piano di risanamento acustico entro dodici mesi dalla data di approvazione del Piano di classificazione acustica comunale e procede alla sua pubblicazione sull’Albo pretorio.</w:t>
      </w:r>
    </w:p>
    <w:p>
      <w:pPr>
        <w:pStyle w:val="NormaleCorpo"/>
        <w:spacing w:lineRule="auto" w:line="360"/>
        <w:rPr/>
      </w:pPr>
      <w:r>
        <w:rPr>
          <w:rFonts w:cs="Arial" w:ascii="Arial" w:hAnsi="Arial"/>
          <w:sz w:val="20"/>
          <w:szCs w:val="20"/>
        </w:rPr>
        <w:t>Il Comune trasmette alla Provincia e all'ARPAS, per i rispettivi compiti di verifica, vigilanza e controllo, entro i successivi trenta giorni, gli elaborati relativi al Piano di risanamento, comprensivi della delibera di approvazione del Consiglio comunale e delle eventuali osservazioni raccolte in fase di consultazione.</w:t>
      </w:r>
    </w:p>
    <w:p>
      <w:pPr>
        <w:pStyle w:val="NormaleCorpo"/>
        <w:spacing w:lineRule="auto" w:line="360"/>
        <w:rPr/>
      </w:pPr>
      <w:r>
        <w:rPr>
          <w:rFonts w:cs="Arial" w:ascii="Arial" w:hAnsi="Arial"/>
          <w:sz w:val="20"/>
          <w:szCs w:val="20"/>
        </w:rPr>
        <w:t>L’ARPAS, entro i successivi trenta giorni formula le proprie osservazioni e le trasmette alla Provincia competente.</w:t>
      </w:r>
    </w:p>
    <w:p>
      <w:pPr>
        <w:pStyle w:val="NormaleCorpo"/>
        <w:spacing w:lineRule="auto" w:line="360"/>
        <w:rPr/>
      </w:pPr>
      <w:r>
        <w:rPr>
          <w:rFonts w:cs="Arial" w:ascii="Arial" w:hAnsi="Arial"/>
          <w:sz w:val="20"/>
          <w:szCs w:val="20"/>
        </w:rPr>
        <w:t>La Provincia, anche sulla base delle osservazioni dell’ARPAS, esamina i contenuti del Piano e ne attesta la conformità alle disposizioni e indicazioni regionali.</w:t>
      </w:r>
    </w:p>
    <w:p>
      <w:pPr>
        <w:pStyle w:val="NormaleCorpo"/>
        <w:spacing w:lineRule="auto" w:line="360"/>
        <w:rPr/>
      </w:pPr>
      <w:r>
        <w:rPr>
          <w:rFonts w:cs="Arial" w:ascii="Arial" w:hAnsi="Arial"/>
          <w:sz w:val="20"/>
          <w:szCs w:val="20"/>
        </w:rPr>
        <w:t>La Provincia inoltre, al fine della redazione e aggiornamento del Piano regionale triennale d’intervento di cui al comma 2 dell’art.4 della legge 26 ottobre 1995, n. n.447 definisce l’ordine di priorità degli interventi in ambito provinciale, con riferimento in particolare:</w:t>
      </w:r>
    </w:p>
    <w:p>
      <w:pPr>
        <w:pStyle w:val="NormaleCorpo"/>
        <w:numPr>
          <w:ilvl w:val="0"/>
          <w:numId w:val="19"/>
        </w:numPr>
        <w:spacing w:lineRule="auto" w:line="360"/>
        <w:rPr/>
      </w:pPr>
      <w:r>
        <w:rPr>
          <w:rFonts w:cs="Arial" w:ascii="Arial" w:hAnsi="Arial"/>
          <w:sz w:val="20"/>
          <w:szCs w:val="20"/>
        </w:rPr>
        <w:t>all’entità del fenomeno acustico inquinante;</w:t>
      </w:r>
    </w:p>
    <w:p>
      <w:pPr>
        <w:pStyle w:val="NormaleCorpo"/>
        <w:numPr>
          <w:ilvl w:val="0"/>
          <w:numId w:val="277"/>
        </w:numPr>
        <w:spacing w:lineRule="auto" w:line="360"/>
        <w:rPr/>
      </w:pPr>
      <w:r>
        <w:rPr>
          <w:rFonts w:cs="Arial" w:ascii="Arial" w:hAnsi="Arial"/>
          <w:sz w:val="20"/>
          <w:szCs w:val="20"/>
        </w:rPr>
        <w:t>alla rilevanza economica della quota parte del progetto di risanamento a carico della pubblica</w:t>
      </w:r>
    </w:p>
    <w:p>
      <w:pPr>
        <w:pStyle w:val="NormaleCorpo"/>
        <w:numPr>
          <w:ilvl w:val="0"/>
          <w:numId w:val="278"/>
        </w:numPr>
        <w:spacing w:lineRule="auto" w:line="360"/>
        <w:rPr/>
      </w:pPr>
      <w:r>
        <w:rPr>
          <w:rFonts w:cs="Arial" w:ascii="Arial" w:hAnsi="Arial"/>
          <w:sz w:val="20"/>
          <w:szCs w:val="20"/>
        </w:rPr>
        <w:t>amministrazione;</w:t>
      </w:r>
    </w:p>
    <w:p>
      <w:pPr>
        <w:pStyle w:val="NormaleCorpo"/>
        <w:numPr>
          <w:ilvl w:val="0"/>
          <w:numId w:val="279"/>
        </w:numPr>
        <w:spacing w:lineRule="auto" w:line="360"/>
        <w:rPr/>
      </w:pPr>
      <w:r>
        <w:rPr>
          <w:rFonts w:cs="Arial" w:ascii="Arial" w:hAnsi="Arial"/>
          <w:sz w:val="20"/>
          <w:szCs w:val="20"/>
        </w:rPr>
        <w:t>all’entità della popolazione che beneficia dell’intervento.</w:t>
      </w:r>
    </w:p>
    <w:p>
      <w:pPr>
        <w:pStyle w:val="NormaleCorpo"/>
        <w:spacing w:lineRule="auto" w:line="360"/>
        <w:rPr/>
      </w:pPr>
      <w:r>
        <w:rPr>
          <w:rFonts w:cs="Arial" w:ascii="Arial" w:hAnsi="Arial"/>
          <w:sz w:val="20"/>
          <w:szCs w:val="20"/>
        </w:rPr>
        <w:t>Attualmente solo il Comune di Cagliari ha presentato il Piano di Risanamento Acustico, gli interventi (barriere, asfalti fonoassorbenti, fluidificazione/regolamentazione traffico, rotonde, ecc.) con effetti sulla mitigazione del rumore, attualmente trasmesso da ARPAS alla Città Metropolitana di Cagliari con le relative osservazioni.</w:t>
      </w:r>
    </w:p>
    <w:p>
      <w:pPr>
        <w:pStyle w:val="Heading2"/>
        <w:numPr>
          <w:ilvl w:val="1"/>
          <w:numId w:val="280"/>
        </w:numPr>
        <w:rPr/>
      </w:pPr>
      <w:bookmarkStart w:id="103" w:name="_Toc178778195"/>
      <w:r>
        <w:rPr/>
        <w:t>Individuazione delle criticità e delle situazioni da migliorare</w:t>
      </w:r>
      <w:bookmarkEnd w:id="103"/>
    </w:p>
    <w:p>
      <w:pPr>
        <w:pStyle w:val="NormaleCorpo"/>
        <w:spacing w:lineRule="auto" w:line="360"/>
        <w:rPr>
          <w:rFonts w:ascii="Arial" w:hAnsi="Arial" w:cs="Arial"/>
          <w:sz w:val="20"/>
          <w:szCs w:val="20"/>
        </w:rPr>
      </w:pPr>
      <w:r>
        <w:rPr>
          <w:rFonts w:cs="Arial" w:ascii="Arial" w:hAnsi="Arial"/>
          <w:sz w:val="20"/>
          <w:szCs w:val="20"/>
        </w:rPr>
      </w:r>
    </w:p>
    <w:p>
      <w:pPr>
        <w:pStyle w:val="NormaleCorpo"/>
        <w:spacing w:lineRule="auto" w:line="360"/>
        <w:rPr/>
      </w:pPr>
      <w:r>
        <w:rPr>
          <w:rFonts w:cs="Arial" w:ascii="Arial" w:hAnsi="Arial"/>
          <w:sz w:val="20"/>
          <w:szCs w:val="20"/>
        </w:rPr>
        <w:t>In collaborazione con ARPAS a seguito della mappa acustica strategica elaborata nel 2022, si è cercato di individuare le criticità e la priorità di alcuni interventi, di tipo generale e applicabili in casi omologhi per la mitigazione del disturbo dal rumore da traffico veicolare (principale sorgente disturbante sulla popolazione nell'Agglomerato studiato), ovvero diminuire la popolazione esposta nelle classi più alte di dB indicati dal D.Lgs. 194/2005.</w:t>
      </w:r>
    </w:p>
    <w:p>
      <w:pPr>
        <w:pStyle w:val="NormaleCorpo"/>
        <w:spacing w:lineRule="auto" w:line="360"/>
        <w:rPr/>
      </w:pPr>
      <w:r>
        <w:rPr>
          <w:rFonts w:cs="Arial" w:ascii="Arial" w:hAnsi="Arial"/>
          <w:sz w:val="20"/>
          <w:szCs w:val="20"/>
        </w:rPr>
        <w:t>Si riportano di seguito le analisi fatte e le relative proposte d'intervento, da condividere con i Comuni di Cagliari, Assemini e Quartu Sant’Elena</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Da quanto esposto in precedenza si rileva che la percentuale di popolazione esposta a livelli sonori superiori alle soglie di potenziale rischio definite a livello internazionale, fissate in un valore di 65 dB(A) di Lden e 55 dB(A) di Lnight è costituita dal traffico veicolare, responsabile per quasi il 99% dell’esposizione della popolazione a Lden &gt; 65 dB(A) e circa il 99 % della popolazione esposta a livelli Lnight &gt; 55 dB(A), mentre la percentuale di popolazione esposta alle altre sorgenti risulta essere inferiore al 1% del totale.</w:t>
      </w:r>
    </w:p>
    <w:p>
      <w:pPr>
        <w:pStyle w:val="Standard"/>
        <w:widowControl/>
        <w:spacing w:lineRule="auto" w:line="360" w:before="280" w:after="120"/>
        <w:jc w:val="both"/>
        <w:textAlignment w:val="auto"/>
        <w:rPr/>
      </w:pPr>
      <w:r>
        <w:rPr>
          <w:rFonts w:eastAsia="Times New Roman" w:cs="Arial" w:ascii="Arial" w:hAnsi="Arial"/>
          <w:kern w:val="0"/>
          <w:sz w:val="20"/>
          <w:szCs w:val="18"/>
          <w:lang w:eastAsia="ar-SA" w:bidi="ar-SA"/>
        </w:rPr>
        <w:t>Il percorso per l'individuazione delle aree nelle quali è necessario progettare interventi tesi a ridurre il numero di perone esposte ai diversi livelli di rumore si sviluppa secondo una logica che prevede:</w:t>
      </w:r>
    </w:p>
    <w:p>
      <w:pPr>
        <w:pStyle w:val="Standard"/>
        <w:widowControl/>
        <w:numPr>
          <w:ilvl w:val="0"/>
          <w:numId w:val="281"/>
        </w:numPr>
        <w:spacing w:lineRule="auto" w:line="360" w:before="280" w:after="120"/>
        <w:jc w:val="both"/>
        <w:textAlignment w:val="auto"/>
        <w:rPr/>
      </w:pPr>
      <w:r>
        <w:rPr>
          <w:rFonts w:eastAsia="Times New Roman" w:cs="Arial" w:ascii="Arial" w:hAnsi="Arial"/>
          <w:kern w:val="0"/>
          <w:sz w:val="20"/>
          <w:szCs w:val="18"/>
          <w:lang w:eastAsia="ar-SA" w:bidi="ar-SA"/>
        </w:rPr>
        <w:t>definizione della “mappa dei limiti” ovvero una mappa che unisce i limiti della classificazione acustica comunale alle fasce di pertinenza delle diverse tipologie di infrastruttura che insiste nelle diverse porzioni di territorio</w:t>
      </w:r>
    </w:p>
    <w:p>
      <w:pPr>
        <w:pStyle w:val="Standard"/>
        <w:widowControl/>
        <w:numPr>
          <w:ilvl w:val="0"/>
          <w:numId w:val="282"/>
        </w:numPr>
        <w:spacing w:lineRule="auto" w:line="360" w:before="0" w:after="120"/>
        <w:jc w:val="both"/>
        <w:textAlignment w:val="auto"/>
        <w:rPr/>
      </w:pPr>
      <w:r>
        <w:rPr>
          <w:rFonts w:eastAsia="Times New Roman" w:cs="Arial" w:ascii="Arial" w:hAnsi="Arial"/>
          <w:kern w:val="0"/>
          <w:sz w:val="20"/>
          <w:szCs w:val="18"/>
          <w:lang w:eastAsia="ar-SA" w:bidi="ar-SA"/>
        </w:rPr>
        <w:t>individuazione delle zone di superamento dei limiti</w:t>
      </w:r>
    </w:p>
    <w:p>
      <w:pPr>
        <w:pStyle w:val="Standard"/>
        <w:widowControl/>
        <w:numPr>
          <w:ilvl w:val="0"/>
          <w:numId w:val="283"/>
        </w:numPr>
        <w:spacing w:lineRule="auto" w:line="360" w:before="0" w:after="120"/>
        <w:jc w:val="both"/>
        <w:textAlignment w:val="auto"/>
        <w:rPr/>
      </w:pPr>
      <w:r>
        <w:rPr>
          <w:rFonts w:eastAsia="Times New Roman" w:cs="Arial" w:ascii="Arial" w:hAnsi="Arial"/>
          <w:kern w:val="0"/>
          <w:sz w:val="20"/>
          <w:szCs w:val="18"/>
          <w:lang w:eastAsia="ar-SA" w:bidi="ar-SA"/>
        </w:rPr>
        <w:t>individuazione delle aree critiche, sulla base del raggruppamento degli edifici maggiormente esposti e della relativa popolazione esposta</w:t>
      </w:r>
    </w:p>
    <w:p>
      <w:pPr>
        <w:pStyle w:val="Standard"/>
        <w:widowControl/>
        <w:spacing w:lineRule="auto" w:line="360" w:before="28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p>
    <w:p>
      <w:pPr>
        <w:pStyle w:val="Heading2"/>
        <w:numPr>
          <w:ilvl w:val="1"/>
          <w:numId w:val="284"/>
        </w:numPr>
        <w:rPr/>
      </w:pPr>
      <w:bookmarkStart w:id="104" w:name="_Toc178778196"/>
      <w:bookmarkStart w:id="105" w:name="_Toc172188023"/>
      <w:r>
        <w:rPr>
          <w:rFonts w:cs="Arial" w:ascii="Arial" w:hAnsi="Arial"/>
          <w:sz w:val="22"/>
          <w:szCs w:val="22"/>
          <w:lang w:eastAsia="ar-SA"/>
        </w:rPr>
        <w:t>Costruzione della mappa dei limiti e individuazione dei superamenti</w:t>
      </w:r>
      <w:bookmarkEnd w:id="104"/>
      <w:bookmarkEnd w:id="105"/>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La “mappa dei limiti” è costituita dall’unione cartografica dei limiti previsti per un certo territorio dalla classificazione acustica comunale con le fasce di pertinenza previste dalla normativa vigente per le diverse tipologie di infrastruttura che insiste nelle diverse porzioni di territorio.</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Tale elaborato è stato costruito realizzando in ambiente GIS la sovrapposizione delle diverse zone previste dalla classificazione acustica dei comuni con gli elaborati relativi alle fasce di pertinenza acustica stradale (previste dal Decreto 142/2004) per ciascun elemento del grafo stradale dell’agglomerato di Cagliari.</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A ciascun edificio è stato quindi assegnato un valore limite che corrisponde al valore più elevato fra i limiti della classificazione acustica e i limiti delle fasce di pertinenza nel caso in cui gli edifici sono ubicati all’interno delle fasce stesse.</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Tale operazione viene eseguita sia per il tempo di riferimento diurno (06-22) che notturno (22-06) ed inoltre esteso ai cosiddetti edifici “sensibili”, ovvero costituiti da residenze protette, strutture sanitarie e scolastiche.</w:t>
      </w:r>
    </w:p>
    <w:p>
      <w:pPr>
        <w:pStyle w:val="Standard"/>
        <w:widowControl/>
        <w:spacing w:lineRule="atLeast" w:line="300" w:before="12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p>
    <w:p>
      <w:pPr>
        <w:pStyle w:val="Heading2"/>
        <w:numPr>
          <w:ilvl w:val="1"/>
          <w:numId w:val="285"/>
        </w:numPr>
        <w:rPr/>
      </w:pPr>
      <w:bookmarkStart w:id="106" w:name="_Toc178778197"/>
      <w:bookmarkStart w:id="107" w:name="_Toc172188024"/>
      <w:r>
        <w:rPr>
          <w:rFonts w:cs="Arial" w:ascii="Arial" w:hAnsi="Arial"/>
          <w:sz w:val="22"/>
          <w:szCs w:val="22"/>
          <w:lang w:eastAsia="ar-SA"/>
        </w:rPr>
        <w:t>Identificazione dei superamenti</w:t>
      </w:r>
      <w:bookmarkEnd w:id="106"/>
      <w:bookmarkEnd w:id="107"/>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Una volta definito in ambiente GIS lo strato informativo dei valori limite per ciascun edificio dell'agglomerato per i periodi diurno e notturno, partendo dai valori di rumore in facciata calcolati mediante un software di modellistica sulla base dei dati di traffico veicolare utilizzati per le elaborazioni della mappatura acustica strategica, è stato calcolato l’eventuale superamento del valore limite per ciascun edificio.</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Considerati i limiti di incertezza dei valori calcolati dal modello per le attività successive sono stati selezionati gli edifici che presentano superamenti maggiori di 5 dB rispetto al limite.</w:t>
      </w:r>
    </w:p>
    <w:p>
      <w:pPr>
        <w:pStyle w:val="Standard"/>
        <w:widowControl/>
        <w:spacing w:lineRule="auto" w:line="360" w:before="28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p>
    <w:p>
      <w:pPr>
        <w:pStyle w:val="Heading2"/>
        <w:numPr>
          <w:ilvl w:val="1"/>
          <w:numId w:val="286"/>
        </w:numPr>
        <w:rPr/>
      </w:pPr>
      <w:bookmarkStart w:id="108" w:name="_Toc178778198"/>
      <w:bookmarkStart w:id="109" w:name="_Toc172188025"/>
      <w:r>
        <w:rPr>
          <w:rFonts w:cs="Arial" w:ascii="Arial" w:hAnsi="Arial"/>
          <w:sz w:val="22"/>
          <w:szCs w:val="22"/>
          <w:lang w:eastAsia="ar-SA"/>
        </w:rPr>
        <w:t>Individuazione delle “aree critiche”</w:t>
      </w:r>
      <w:bookmarkEnd w:id="108"/>
      <w:bookmarkEnd w:id="109"/>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Al fine di raggiungere l'obiettivo della limitazione dell'esposizione della popolazione al rumore vengono trascurati i  superamenti isolati al fine di identificare le aree vaste nelle quali avvengono i superanti più rilevanti.</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 xml:space="preserve">Ad oggi l’unico indirizzo normativo che consente l'identificazione e la delimitazione delle aree critiche nonchè il calcolo dell’indice di priorità al fine di avviare i piani di risanamento è fornito dall’Allegato I del DM 29/11/2000 </w:t>
      </w:r>
      <w:r>
        <w:rPr>
          <w:rFonts w:eastAsia="Times New Roman" w:cs="Arial" w:ascii="Arial" w:hAnsi="Arial"/>
          <w:i/>
          <w:iCs/>
          <w:kern w:val="0"/>
          <w:sz w:val="20"/>
          <w:szCs w:val="18"/>
          <w:lang w:eastAsia="it-IT" w:bidi="ar-SA"/>
        </w:rPr>
        <w:t>“Criteri per la predisposizione, da parte delle società e degli enti gestori dei servizi pubblici di trasporto o delle relative infrastrutture, dei piani degli interventi di contenimento e abbattimento del rumore”.</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Per il presente Piano d'Azione si è scelto di utilizzare l’indice di priorità come definito dal DM 29/11/2000, applicabile indipendentemente dal descrittore acustico di riferimento:</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P = Ri(Li – Li*)</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dove:</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Ri: numero dei ricettori;</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Li: livello, relativo al descrittore acustico (LAeq e/o Lden-Lnight), della sorgente critica nell'area Ai;</w:t>
      </w:r>
    </w:p>
    <w:p>
      <w:pPr>
        <w:pStyle w:val="Standard"/>
        <w:widowControl/>
        <w:spacing w:lineRule="auto" w:line="360" w:before="280" w:after="120"/>
        <w:jc w:val="both"/>
        <w:textAlignment w:val="auto"/>
        <w:rPr/>
      </w:pPr>
      <w:r>
        <w:rPr>
          <w:rFonts w:eastAsia="Times New Roman" w:cs="Arial" w:ascii="Arial" w:hAnsi="Arial"/>
          <w:kern w:val="0"/>
          <w:sz w:val="20"/>
          <w:szCs w:val="18"/>
          <w:lang w:eastAsia="it-IT" w:bidi="ar-SA"/>
        </w:rPr>
        <w:t>Li*: livello limite relativo al descrittore acustico di riferimento.</w:t>
      </w:r>
    </w:p>
    <w:p>
      <w:pPr>
        <w:pStyle w:val="Standard"/>
        <w:widowControl/>
        <w:spacing w:lineRule="auto" w:line="360" w:before="280" w:after="120"/>
        <w:jc w:val="both"/>
        <w:textAlignment w:val="auto"/>
        <w:rPr>
          <w:rFonts w:ascii="Arial" w:hAnsi="Arial" w:eastAsia="Times New Roman" w:cs="Arial"/>
          <w:kern w:val="0"/>
          <w:sz w:val="20"/>
          <w:szCs w:val="18"/>
          <w:lang w:eastAsia="it-IT" w:bidi="ar-SA"/>
        </w:rPr>
      </w:pPr>
      <w:r>
        <w:rPr>
          <w:rFonts w:eastAsia="Times New Roman" w:cs="Arial" w:ascii="Arial" w:hAnsi="Arial"/>
          <w:kern w:val="0"/>
          <w:sz w:val="20"/>
          <w:szCs w:val="18"/>
          <w:lang w:eastAsia="it-IT" w:bidi="ar-SA"/>
        </w:rPr>
      </w:r>
    </w:p>
    <w:p>
      <w:pPr>
        <w:pStyle w:val="Heading2"/>
        <w:numPr>
          <w:ilvl w:val="1"/>
          <w:numId w:val="287"/>
        </w:numPr>
        <w:rPr/>
      </w:pPr>
      <w:bookmarkStart w:id="110" w:name="_Toc178778199"/>
      <w:bookmarkStart w:id="111" w:name="_Toc172188026"/>
      <w:r>
        <w:rPr>
          <w:rFonts w:cs="Arial" w:ascii="Arial" w:hAnsi="Arial"/>
          <w:sz w:val="22"/>
          <w:szCs w:val="22"/>
          <w:lang w:eastAsia="ar-SA"/>
        </w:rPr>
        <w:t>Calcolo indice di priorità</w:t>
      </w:r>
      <w:bookmarkEnd w:id="110"/>
      <w:bookmarkEnd w:id="111"/>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Il risultato dell’incrocio mediante procedura GIS della mappa dei limiti con i punti dei massimi valori di esposizione in facciata per gli edifici residenziali, è stato quindi posto in relazione ai dati di popolazione ricavati dall’ultimo censimento Istat relativo al 2021, in modo da stimare la popolazione residenziale esposta ai diversi superamenti.</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Nel seguito sono riportate le tabelle che descrivono le aree critiche individuate per il periodo diurno e notturno:</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Tabella 1 – aree critiche residenziali diurne con i relativi indici di priorità e popolazione esposta</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Tabella 2 – aree critiche residenziali notturne con i relativi indici di priorità e popolazione esposta</w:t>
      </w:r>
    </w:p>
    <w:p>
      <w:pPr>
        <w:pStyle w:val="Standard"/>
        <w:widowControl/>
        <w:spacing w:lineRule="atLeast" w:line="300" w:before="12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Si riporta inoltre la tabella con le criticità e l’indice di rischio per i recettori sensibili individuati per ciascun comune</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Tabella 3 – superamenti edifici sensibili periodo diurno e notturno</w:t>
      </w:r>
    </w:p>
    <w:p>
      <w:pPr>
        <w:pStyle w:val="Standard"/>
        <w:widowControl/>
        <w:spacing w:lineRule="atLeast" w:line="300" w:before="12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Le relative elaborazione cartografiche sono riportate in allegato separato</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Allegato 1 - cartografia aree critiche residenziali diurne e notturne suddivisa per comune</w:t>
      </w:r>
    </w:p>
    <w:p>
      <w:pPr>
        <w:pStyle w:val="Standard"/>
        <w:widowControl/>
        <w:spacing w:lineRule="atLeast" w:line="300" w:before="120" w:after="120"/>
        <w:jc w:val="both"/>
        <w:textAlignment w:val="auto"/>
        <w:rPr/>
      </w:pPr>
      <w:r>
        <w:rPr>
          <w:rFonts w:eastAsia="Times New Roman" w:cs="Arial" w:ascii="Arial" w:hAnsi="Arial"/>
          <w:kern w:val="0"/>
          <w:sz w:val="20"/>
          <w:szCs w:val="18"/>
          <w:lang w:eastAsia="ar-SA" w:bidi="ar-SA"/>
        </w:rPr>
        <w:t>Allegato 2 – Cartografia edifici sensibili e criticità periodo diurno/notturno</w:t>
      </w:r>
    </w:p>
    <w:p>
      <w:pPr>
        <w:pStyle w:val="Standard"/>
        <w:widowControl/>
        <w:spacing w:lineRule="atLeast" w:line="300" w:before="12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p>
    <w:p>
      <w:pPr>
        <w:pStyle w:val="Standard"/>
        <w:rPr/>
      </w:pPr>
      <w:r>
        <w:rPr>
          <w:rFonts w:cs="Arial" w:ascii="Arial" w:hAnsi="Arial"/>
          <w:b/>
          <w:sz w:val="18"/>
          <w:szCs w:val="18"/>
        </w:rPr>
        <w:t>Tabella 1 - riepilogo aree critiche diurne per comune</w:t>
      </w:r>
    </w:p>
    <w:tbl>
      <w:tblPr>
        <w:tblW w:w="8812" w:type="dxa"/>
        <w:jc w:val="left"/>
        <w:tblInd w:w="-109" w:type="dxa"/>
        <w:tblLayout w:type="fixed"/>
        <w:tblCellMar>
          <w:top w:w="0" w:type="dxa"/>
          <w:left w:w="108" w:type="dxa"/>
          <w:bottom w:w="0" w:type="dxa"/>
          <w:right w:w="108" w:type="dxa"/>
        </w:tblCellMar>
        <w:tblLook w:firstRow="0" w:noVBand="0" w:lastRow="0" w:firstColumn="0" w:lastColumn="0" w:noHBand="0" w:val="0000"/>
      </w:tblPr>
      <w:tblGrid>
        <w:gridCol w:w="1557"/>
        <w:gridCol w:w="1579"/>
        <w:gridCol w:w="1175"/>
        <w:gridCol w:w="1183"/>
        <w:gridCol w:w="996"/>
        <w:gridCol w:w="1365"/>
        <w:gridCol w:w="956"/>
      </w:tblGrid>
      <w:tr>
        <w:trPr>
          <w:trHeight w:val="300" w:hRule="atLeast"/>
        </w:trPr>
        <w:tc>
          <w:tcPr>
            <w:tcW w:w="1557" w:type="dxa"/>
            <w:tcBorders>
              <w:top w:val="single" w:sz="4" w:space="0" w:color="70AD47"/>
              <w:left w:val="single" w:sz="4" w:space="0" w:color="70AD47"/>
              <w:bottom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Comune</w:t>
            </w:r>
          </w:p>
        </w:tc>
        <w:tc>
          <w:tcPr>
            <w:tcW w:w="1579" w:type="dxa"/>
            <w:tcBorders>
              <w:top w:val="single" w:sz="4" w:space="0" w:color="70AD47"/>
              <w:bottom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Denominazione</w:t>
            </w:r>
          </w:p>
        </w:tc>
        <w:tc>
          <w:tcPr>
            <w:tcW w:w="1175" w:type="dxa"/>
            <w:tcBorders>
              <w:top w:val="single" w:sz="4" w:space="0" w:color="70AD47"/>
              <w:bottom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Superficie</w:t>
            </w:r>
          </w:p>
        </w:tc>
        <w:tc>
          <w:tcPr>
            <w:tcW w:w="1183" w:type="dxa"/>
            <w:tcBorders>
              <w:top w:val="single" w:sz="4" w:space="0" w:color="70AD47"/>
              <w:bottom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Popolazione</w:t>
            </w:r>
          </w:p>
        </w:tc>
        <w:tc>
          <w:tcPr>
            <w:tcW w:w="996" w:type="dxa"/>
            <w:tcBorders>
              <w:top w:val="single" w:sz="4" w:space="0" w:color="70AD47"/>
              <w:bottom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LDen dB(A)</w:t>
            </w:r>
          </w:p>
        </w:tc>
        <w:tc>
          <w:tcPr>
            <w:tcW w:w="1365" w:type="dxa"/>
            <w:tcBorders>
              <w:top w:val="single" w:sz="4" w:space="0" w:color="70AD47"/>
              <w:bottom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Indice_Criticità</w:t>
            </w:r>
          </w:p>
        </w:tc>
        <w:tc>
          <w:tcPr>
            <w:tcW w:w="956" w:type="dxa"/>
            <w:tcBorders>
              <w:top w:val="single" w:sz="4" w:space="0" w:color="70AD47"/>
              <w:bottom w:val="single" w:sz="4" w:space="0" w:color="70AD47"/>
              <w:right w:val="single" w:sz="4" w:space="0" w:color="70AD47"/>
            </w:tcBorders>
            <w:shd w:color="auto" w:fill="70AD47" w:val="clear"/>
            <w:vAlign w:val="center"/>
          </w:tcPr>
          <w:p>
            <w:pPr>
              <w:pStyle w:val="Standard"/>
              <w:suppressAutoHyphens w:val="false"/>
              <w:jc w:val="center"/>
              <w:rPr/>
            </w:pPr>
            <w:r>
              <w:rPr>
                <w:rFonts w:cs="Arial" w:ascii="Arial" w:hAnsi="Arial"/>
                <w:b/>
                <w:bCs/>
                <w:color w:val="000000"/>
                <w:sz w:val="16"/>
                <w:szCs w:val="16"/>
                <w:lang w:eastAsia="it-IT"/>
              </w:rPr>
              <w:t>Rischio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ASSEMINI1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3549</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407</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79</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7011</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BASSO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ASSEMINI2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10065</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188</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78</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3284</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BASSO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ASSEMINI3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11029</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234</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74</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4335</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BASSO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ASSEMINI4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2163</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168</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75</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3102</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BASSO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CAGLIARI1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28033</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2355</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75</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29109</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ALTO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CAGLIARI2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27516</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846</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77</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12042</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MEDIO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CAGLIARI3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2595</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275</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75</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2924</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BASSO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CAGLIARI4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17277</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750</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74</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10527</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MEDIO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CAGLIARI5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15123</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1161</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79</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13315</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MEDIO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CAGLIARI6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31851</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1982</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76</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17228</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MEDIO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CAGLIARI7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44347</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1803</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74</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22289</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ALTO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CAGLIARI8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56532</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1929</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75</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24484</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ALTO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QUARTU 1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76533</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3065</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76</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41003</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ALTO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579"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bCs/>
                <w:color w:val="000000"/>
                <w:sz w:val="16"/>
                <w:szCs w:val="16"/>
                <w:lang w:eastAsia="it-IT"/>
              </w:rPr>
              <w:t>QUARTU2 AC</w:t>
            </w:r>
          </w:p>
        </w:tc>
        <w:tc>
          <w:tcPr>
            <w:tcW w:w="117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41978</w:t>
            </w:r>
          </w:p>
        </w:tc>
        <w:tc>
          <w:tcPr>
            <w:tcW w:w="1183"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1422</w:t>
            </w:r>
          </w:p>
        </w:tc>
        <w:tc>
          <w:tcPr>
            <w:tcW w:w="99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77</w:t>
            </w:r>
          </w:p>
        </w:tc>
        <w:tc>
          <w:tcPr>
            <w:tcW w:w="1365"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19842</w:t>
            </w:r>
          </w:p>
        </w:tc>
        <w:tc>
          <w:tcPr>
            <w:tcW w:w="956" w:type="dxa"/>
            <w:tcBorders>
              <w:top w:val="single" w:sz="4" w:space="0" w:color="A8D08D"/>
              <w:left w:val="single" w:sz="4" w:space="0" w:color="A8D08D"/>
              <w:bottom w:val="single" w:sz="4" w:space="0" w:color="A8D08D"/>
              <w:right w:val="single" w:sz="4" w:space="0" w:color="A8D08D"/>
            </w:tcBorders>
            <w:shd w:color="auto" w:fill="auto" w:val="clear"/>
            <w:vAlign w:val="center"/>
          </w:tcPr>
          <w:p>
            <w:pPr>
              <w:pStyle w:val="Standard"/>
              <w:suppressAutoHyphens w:val="false"/>
              <w:jc w:val="center"/>
              <w:rPr/>
            </w:pPr>
            <w:r>
              <w:rPr>
                <w:rFonts w:cs="Arial" w:ascii="Arial" w:hAnsi="Arial"/>
                <w:color w:val="000000"/>
                <w:sz w:val="16"/>
                <w:szCs w:val="16"/>
                <w:lang w:eastAsia="it-IT"/>
              </w:rPr>
              <w:t>MEDIO</w:t>
            </w:r>
          </w:p>
        </w:tc>
      </w:tr>
      <w:tr>
        <w:trPr>
          <w:trHeight w:val="300" w:hRule="atLeast"/>
        </w:trPr>
        <w:tc>
          <w:tcPr>
            <w:tcW w:w="1557"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579"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bCs/>
                <w:color w:val="000000"/>
                <w:sz w:val="16"/>
                <w:szCs w:val="16"/>
                <w:lang w:eastAsia="it-IT"/>
              </w:rPr>
              <w:t>QUARTU3 AC</w:t>
            </w:r>
          </w:p>
        </w:tc>
        <w:tc>
          <w:tcPr>
            <w:tcW w:w="117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69568</w:t>
            </w:r>
          </w:p>
        </w:tc>
        <w:tc>
          <w:tcPr>
            <w:tcW w:w="1183"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4868</w:t>
            </w:r>
          </w:p>
        </w:tc>
        <w:tc>
          <w:tcPr>
            <w:tcW w:w="99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76</w:t>
            </w:r>
          </w:p>
        </w:tc>
        <w:tc>
          <w:tcPr>
            <w:tcW w:w="1365"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52466</w:t>
            </w:r>
          </w:p>
        </w:tc>
        <w:tc>
          <w:tcPr>
            <w:tcW w:w="956" w:type="dxa"/>
            <w:tcBorders>
              <w:top w:val="single" w:sz="4" w:space="0" w:color="A8D08D"/>
              <w:left w:val="single" w:sz="4" w:space="0" w:color="A8D08D"/>
              <w:bottom w:val="single" w:sz="4" w:space="0" w:color="A8D08D"/>
              <w:right w:val="single" w:sz="4" w:space="0" w:color="A8D08D"/>
            </w:tcBorders>
            <w:shd w:color="auto" w:fill="E2EFD9" w:val="clear"/>
            <w:vAlign w:val="center"/>
          </w:tcPr>
          <w:p>
            <w:pPr>
              <w:pStyle w:val="Standard"/>
              <w:suppressAutoHyphens w:val="false"/>
              <w:jc w:val="center"/>
              <w:rPr/>
            </w:pPr>
            <w:r>
              <w:rPr>
                <w:rFonts w:cs="Arial" w:ascii="Arial" w:hAnsi="Arial"/>
                <w:color w:val="000000"/>
                <w:sz w:val="16"/>
                <w:szCs w:val="16"/>
                <w:lang w:eastAsia="it-IT"/>
              </w:rPr>
              <w:t>ALTO</w:t>
            </w:r>
          </w:p>
        </w:tc>
      </w:tr>
    </w:tbl>
    <w:p>
      <w:pPr>
        <w:pStyle w:val="Standard"/>
        <w:rPr>
          <w:b/>
          <w:sz w:val="18"/>
          <w:szCs w:val="18"/>
        </w:rPr>
      </w:pPr>
      <w:r>
        <w:rPr>
          <w:b/>
          <w:sz w:val="18"/>
          <w:szCs w:val="18"/>
        </w:rPr>
      </w:r>
    </w:p>
    <w:p>
      <w:pPr>
        <w:pStyle w:val="Standard"/>
        <w:rPr>
          <w:rFonts w:ascii="Arial" w:hAnsi="Arial" w:cs="Arial"/>
          <w:b/>
          <w:sz w:val="18"/>
          <w:szCs w:val="18"/>
        </w:rPr>
      </w:pPr>
      <w:r>
        <w:rPr>
          <w:rFonts w:cs="Arial" w:ascii="Arial" w:hAnsi="Arial"/>
          <w:b/>
          <w:sz w:val="18"/>
          <w:szCs w:val="18"/>
        </w:rPr>
      </w:r>
      <w:r>
        <w:br w:type="page"/>
      </w:r>
    </w:p>
    <w:p>
      <w:pPr>
        <w:pStyle w:val="Standard"/>
        <w:spacing w:before="0" w:after="0"/>
        <w:rPr/>
      </w:pPr>
      <w:r>
        <w:rPr>
          <w:rFonts w:cs="Arial" w:ascii="Arial" w:hAnsi="Arial"/>
          <w:b/>
          <w:sz w:val="18"/>
          <w:szCs w:val="18"/>
        </w:rPr>
        <w:t>Tabella riepilogo aree critiche notturne per comune</w:t>
      </w:r>
    </w:p>
    <w:tbl>
      <w:tblPr>
        <w:tblW w:w="9273" w:type="dxa"/>
        <w:jc w:val="left"/>
        <w:tblInd w:w="-113" w:type="dxa"/>
        <w:tblLayout w:type="fixed"/>
        <w:tblCellMar>
          <w:top w:w="0" w:type="dxa"/>
          <w:left w:w="108" w:type="dxa"/>
          <w:bottom w:w="0" w:type="dxa"/>
          <w:right w:w="108" w:type="dxa"/>
        </w:tblCellMar>
        <w:tblLook w:firstRow="0" w:noVBand="0" w:lastRow="0" w:firstColumn="0" w:lastColumn="0" w:noHBand="0" w:val="0000"/>
      </w:tblPr>
      <w:tblGrid>
        <w:gridCol w:w="1122"/>
        <w:gridCol w:w="1549"/>
        <w:gridCol w:w="1091"/>
        <w:gridCol w:w="1189"/>
        <w:gridCol w:w="1238"/>
        <w:gridCol w:w="800"/>
        <w:gridCol w:w="1240"/>
        <w:gridCol w:w="1043"/>
      </w:tblGrid>
      <w:tr>
        <w:trPr>
          <w:tblHeader w:val="true"/>
          <w:trHeight w:val="300" w:hRule="atLeast"/>
        </w:trPr>
        <w:tc>
          <w:tcPr>
            <w:tcW w:w="1122" w:type="dxa"/>
            <w:tcBorders>
              <w:top w:val="single" w:sz="4" w:space="0" w:color="000000"/>
              <w:left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Comune</w:t>
            </w:r>
          </w:p>
        </w:tc>
        <w:tc>
          <w:tcPr>
            <w:tcW w:w="1549" w:type="dxa"/>
            <w:tcBorders>
              <w:top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Denominazione</w:t>
            </w:r>
          </w:p>
        </w:tc>
        <w:tc>
          <w:tcPr>
            <w:tcW w:w="1091" w:type="dxa"/>
            <w:tcBorders>
              <w:top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Superficie</w:t>
            </w:r>
          </w:p>
        </w:tc>
        <w:tc>
          <w:tcPr>
            <w:tcW w:w="1189" w:type="dxa"/>
            <w:tcBorders>
              <w:top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Popolazione</w:t>
            </w:r>
          </w:p>
        </w:tc>
        <w:tc>
          <w:tcPr>
            <w:tcW w:w="1238" w:type="dxa"/>
            <w:tcBorders>
              <w:top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LAEQ_NIGHT dB(A)</w:t>
            </w:r>
          </w:p>
        </w:tc>
        <w:tc>
          <w:tcPr>
            <w:tcW w:w="800" w:type="dxa"/>
            <w:tcBorders>
              <w:top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LIMITI_N</w:t>
            </w:r>
          </w:p>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dB(A)</w:t>
            </w:r>
          </w:p>
        </w:tc>
        <w:tc>
          <w:tcPr>
            <w:tcW w:w="1240" w:type="dxa"/>
            <w:tcBorders>
              <w:top w:val="single" w:sz="4" w:space="0" w:color="000000"/>
              <w:bottom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Indice Criticità</w:t>
            </w:r>
          </w:p>
        </w:tc>
        <w:tc>
          <w:tcPr>
            <w:tcW w:w="1043" w:type="dxa"/>
            <w:tcBorders>
              <w:top w:val="single" w:sz="4" w:space="0" w:color="000000"/>
              <w:bottom w:val="single" w:sz="4" w:space="0" w:color="000000"/>
              <w:right w:val="single" w:sz="4" w:space="0" w:color="000000"/>
            </w:tcBorders>
            <w:shd w:color="auto" w:fill="70AD47"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CRITICITA'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Assemini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ASSEMINI1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12046</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407</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68</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6954</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Assemini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ASSEMINI2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10065</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188</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68</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3260</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CAGLIARI1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12659</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1193</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71</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55</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10385</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CAGLIARI10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14128</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840</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64</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11120</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CAGLIARI11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8327</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544</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63</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55</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4457</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CAGLIARI12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34328</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2147</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66</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18289</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MEDIA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CAGLIARI2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4588</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411</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65</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3731</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CAGLIARI3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17710</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1381</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62</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15698</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MEDIA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CAGLIARI4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3604</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459</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58</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5858</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CAGLIARI5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4416</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494</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61</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7203</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CAGLIARI6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5197</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475</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66</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55</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4397</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CAGLIARI7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6144</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590</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63</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5984</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CAGLIARI8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41152</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1494</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64</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18978</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MEDIA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Cagliari</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CAGLIARI9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14736</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556</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64</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45</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6824</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BASSA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Quartu Sant'Elena</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QUARTU1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71754</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2947</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66</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39682</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ALTA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Quartu Sant'Elena</w:t>
            </w:r>
          </w:p>
        </w:tc>
        <w:tc>
          <w:tcPr>
            <w:tcW w:w="154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QUARTU2 ACN</w:t>
            </w:r>
          </w:p>
        </w:tc>
        <w:tc>
          <w:tcPr>
            <w:tcW w:w="1091"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43062</w:t>
            </w:r>
          </w:p>
        </w:tc>
        <w:tc>
          <w:tcPr>
            <w:tcW w:w="1189"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1473</w:t>
            </w:r>
          </w:p>
        </w:tc>
        <w:tc>
          <w:tcPr>
            <w:tcW w:w="1238"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67</w:t>
            </w:r>
          </w:p>
        </w:tc>
        <w:tc>
          <w:tcPr>
            <w:tcW w:w="80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20426</w:t>
            </w:r>
          </w:p>
        </w:tc>
        <w:tc>
          <w:tcPr>
            <w:tcW w:w="1043" w:type="dxa"/>
            <w:tcBorders>
              <w:top w:val="single" w:sz="4" w:space="0" w:color="000000"/>
              <w:left w:val="single" w:sz="4" w:space="0" w:color="000000"/>
              <w:bottom w:val="single" w:sz="4" w:space="0" w:color="000000"/>
              <w:right w:val="single" w:sz="4" w:space="0" w:color="000000"/>
            </w:tcBorders>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ALTA</w:t>
            </w:r>
          </w:p>
        </w:tc>
      </w:tr>
      <w:tr>
        <w:trPr>
          <w:trHeight w:val="300" w:hRule="atLeast"/>
        </w:trPr>
        <w:tc>
          <w:tcPr>
            <w:tcW w:w="1122" w:type="dxa"/>
            <w:tcBorders>
              <w:top w:val="single" w:sz="4" w:space="0" w:color="000000"/>
              <w:left w:val="single" w:sz="4" w:space="0" w:color="000000"/>
              <w:bottom w:val="single" w:sz="4" w:space="0" w:color="000000"/>
              <w:right w:val="single" w:sz="4" w:space="0" w:color="000000"/>
            </w:tcBorders>
            <w:shd w:color="auto" w:fill="E2EFD9" w:val="clear"/>
          </w:tcPr>
          <w:p>
            <w:pPr>
              <w:pStyle w:val="Standard"/>
              <w:widowControl/>
              <w:suppressAutoHyphens w:val="false"/>
              <w:textAlignment w:val="auto"/>
              <w:rPr>
                <w:b/>
                <w:bCs/>
              </w:rPr>
            </w:pPr>
            <w:r>
              <w:rPr>
                <w:rFonts w:eastAsia="Times New Roman" w:cs="Arial" w:ascii="Arial" w:hAnsi="Arial"/>
                <w:b/>
                <w:color w:val="000000"/>
                <w:kern w:val="0"/>
                <w:sz w:val="16"/>
                <w:szCs w:val="16"/>
                <w:lang w:eastAsia="it-IT" w:bidi="ar-SA"/>
              </w:rPr>
              <w:t>Quartu Sant'Elena</w:t>
            </w:r>
          </w:p>
        </w:tc>
        <w:tc>
          <w:tcPr>
            <w:tcW w:w="154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QUARTU3 ACN</w:t>
            </w:r>
          </w:p>
        </w:tc>
        <w:tc>
          <w:tcPr>
            <w:tcW w:w="1091"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95524</w:t>
            </w:r>
          </w:p>
        </w:tc>
        <w:tc>
          <w:tcPr>
            <w:tcW w:w="1189"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5173</w:t>
            </w:r>
          </w:p>
        </w:tc>
        <w:tc>
          <w:tcPr>
            <w:tcW w:w="1238"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67</w:t>
            </w:r>
          </w:p>
        </w:tc>
        <w:tc>
          <w:tcPr>
            <w:tcW w:w="80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50</w:t>
            </w:r>
          </w:p>
        </w:tc>
        <w:tc>
          <w:tcPr>
            <w:tcW w:w="124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59056</w:t>
            </w:r>
          </w:p>
        </w:tc>
        <w:tc>
          <w:tcPr>
            <w:tcW w:w="1043"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widowControl/>
              <w:suppressAutoHyphens w:val="false"/>
              <w:jc w:val="center"/>
              <w:textAlignment w:val="auto"/>
              <w:rPr/>
            </w:pPr>
            <w:r>
              <w:rPr>
                <w:rFonts w:eastAsia="Times New Roman" w:cs="Arial" w:ascii="Arial" w:hAnsi="Arial"/>
                <w:bCs/>
                <w:color w:val="000000"/>
                <w:kern w:val="0"/>
                <w:sz w:val="16"/>
                <w:szCs w:val="16"/>
                <w:lang w:eastAsia="it-IT" w:bidi="ar-SA"/>
              </w:rPr>
              <w:t>ALTA</w:t>
            </w:r>
          </w:p>
        </w:tc>
      </w:tr>
    </w:tbl>
    <w:p>
      <w:pPr>
        <w:pStyle w:val="Standard"/>
        <w:rPr>
          <w:b/>
          <w:sz w:val="18"/>
          <w:szCs w:val="18"/>
        </w:rPr>
      </w:pPr>
      <w:r>
        <w:rPr>
          <w:b/>
          <w:sz w:val="18"/>
          <w:szCs w:val="18"/>
        </w:rPr>
      </w:r>
    </w:p>
    <w:p>
      <w:pPr>
        <w:pStyle w:val="Standard"/>
        <w:rPr>
          <w:b/>
          <w:sz w:val="18"/>
          <w:szCs w:val="18"/>
        </w:rPr>
      </w:pPr>
      <w:r>
        <w:rPr>
          <w:b/>
          <w:sz w:val="18"/>
          <w:szCs w:val="18"/>
        </w:rPr>
      </w:r>
    </w:p>
    <w:p>
      <w:pPr>
        <w:pStyle w:val="Standard"/>
        <w:rPr>
          <w:b/>
          <w:sz w:val="18"/>
          <w:szCs w:val="18"/>
        </w:rPr>
      </w:pPr>
      <w:r>
        <w:rPr>
          <w:b/>
          <w:sz w:val="18"/>
          <w:szCs w:val="18"/>
        </w:rPr>
      </w:r>
    </w:p>
    <w:p>
      <w:pPr>
        <w:pStyle w:val="Standard"/>
        <w:rPr/>
      </w:pPr>
      <w:r>
        <w:rPr>
          <w:rFonts w:cs="Arial" w:ascii="Arial" w:hAnsi="Arial"/>
          <w:b/>
          <w:sz w:val="18"/>
          <w:szCs w:val="18"/>
        </w:rPr>
        <w:t>Tabella 3 - riepilogo criticità e indice di rischio per recettori sensibili per comune</w:t>
      </w:r>
    </w:p>
    <w:tbl>
      <w:tblPr>
        <w:tblW w:w="8304" w:type="dxa"/>
        <w:jc w:val="left"/>
        <w:tblInd w:w="313" w:type="dxa"/>
        <w:tblLayout w:type="fixed"/>
        <w:tblCellMar>
          <w:top w:w="0" w:type="dxa"/>
          <w:left w:w="108" w:type="dxa"/>
          <w:bottom w:w="0" w:type="dxa"/>
          <w:right w:w="108" w:type="dxa"/>
        </w:tblCellMar>
        <w:tblLook w:firstRow="0" w:noVBand="0" w:lastRow="0" w:firstColumn="0" w:lastColumn="0" w:noHBand="0" w:val="0000"/>
      </w:tblPr>
      <w:tblGrid>
        <w:gridCol w:w="1557"/>
        <w:gridCol w:w="1660"/>
        <w:gridCol w:w="1884"/>
        <w:gridCol w:w="1376"/>
        <w:gridCol w:w="892"/>
        <w:gridCol w:w="934"/>
      </w:tblGrid>
      <w:tr>
        <w:trPr>
          <w:tblHeader w:val="true"/>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70AD47" w:val="clear"/>
            <w:vAlign w:val="center"/>
          </w:tcPr>
          <w:p>
            <w:pPr>
              <w:pStyle w:val="Standard"/>
              <w:suppressAutoHyphens w:val="false"/>
              <w:rPr/>
            </w:pPr>
            <w:r>
              <w:rPr>
                <w:rFonts w:cs="Arial" w:ascii="Arial" w:hAnsi="Arial"/>
                <w:b/>
                <w:bCs/>
                <w:color w:val="000000"/>
                <w:sz w:val="16"/>
                <w:szCs w:val="16"/>
                <w:lang w:eastAsia="it-IT"/>
              </w:rPr>
              <w:t>Comune</w:t>
            </w:r>
          </w:p>
        </w:tc>
        <w:tc>
          <w:tcPr>
            <w:tcW w:w="1660" w:type="dxa"/>
            <w:tcBorders>
              <w:top w:val="single" w:sz="4" w:space="0" w:color="000000"/>
              <w:left w:val="single" w:sz="4" w:space="0" w:color="000000"/>
              <w:bottom w:val="single" w:sz="4" w:space="0" w:color="000000"/>
              <w:right w:val="single" w:sz="4" w:space="0" w:color="000000"/>
            </w:tcBorders>
            <w:shd w:color="auto" w:fill="70AD47" w:val="clear"/>
            <w:vAlign w:val="center"/>
          </w:tcPr>
          <w:p>
            <w:pPr>
              <w:pStyle w:val="Standard"/>
              <w:suppressAutoHyphens w:val="false"/>
              <w:rPr/>
            </w:pPr>
            <w:r>
              <w:rPr>
                <w:rFonts w:cs="Arial" w:ascii="Arial" w:hAnsi="Arial"/>
                <w:b/>
                <w:bCs/>
                <w:color w:val="000000"/>
                <w:sz w:val="16"/>
                <w:szCs w:val="16"/>
                <w:lang w:eastAsia="it-IT"/>
              </w:rPr>
              <w:t>Tipologia</w:t>
            </w:r>
          </w:p>
        </w:tc>
        <w:tc>
          <w:tcPr>
            <w:tcW w:w="1884" w:type="dxa"/>
            <w:tcBorders>
              <w:top w:val="single" w:sz="4" w:space="0" w:color="000000"/>
              <w:left w:val="single" w:sz="4" w:space="0" w:color="000000"/>
              <w:bottom w:val="single" w:sz="4" w:space="0" w:color="000000"/>
              <w:right w:val="single" w:sz="4" w:space="0" w:color="000000"/>
            </w:tcBorders>
            <w:shd w:color="auto" w:fill="70AD47" w:val="clear"/>
            <w:vAlign w:val="center"/>
          </w:tcPr>
          <w:p>
            <w:pPr>
              <w:pStyle w:val="Standard"/>
              <w:suppressAutoHyphens w:val="false"/>
              <w:rPr/>
            </w:pPr>
            <w:r>
              <w:rPr>
                <w:rFonts w:cs="Arial" w:ascii="Arial" w:hAnsi="Arial"/>
                <w:b/>
                <w:bCs/>
                <w:color w:val="000000"/>
                <w:sz w:val="16"/>
                <w:szCs w:val="16"/>
                <w:lang w:eastAsia="it-IT"/>
              </w:rPr>
              <w:t>Descrizione</w:t>
            </w:r>
          </w:p>
        </w:tc>
        <w:tc>
          <w:tcPr>
            <w:tcW w:w="1376" w:type="dxa"/>
            <w:tcBorders>
              <w:top w:val="single" w:sz="4" w:space="0" w:color="000000"/>
              <w:left w:val="single" w:sz="4" w:space="0" w:color="000000"/>
              <w:bottom w:val="single" w:sz="4" w:space="0" w:color="000000"/>
              <w:right w:val="single" w:sz="4" w:space="0" w:color="000000"/>
            </w:tcBorders>
            <w:shd w:color="auto" w:fill="70AD47" w:val="clear"/>
            <w:vAlign w:val="center"/>
          </w:tcPr>
          <w:p>
            <w:pPr>
              <w:pStyle w:val="Standard"/>
              <w:suppressAutoHyphens w:val="false"/>
              <w:rPr/>
            </w:pPr>
            <w:r>
              <w:rPr>
                <w:rFonts w:cs="Arial" w:ascii="Arial" w:hAnsi="Arial"/>
                <w:b/>
                <w:bCs/>
                <w:color w:val="000000"/>
                <w:sz w:val="16"/>
                <w:szCs w:val="16"/>
                <w:lang w:eastAsia="it-IT"/>
              </w:rPr>
              <w:t>Superamento Diurno Lden dB(A)</w:t>
            </w:r>
          </w:p>
        </w:tc>
        <w:tc>
          <w:tcPr>
            <w:tcW w:w="892" w:type="dxa"/>
            <w:tcBorders>
              <w:top w:val="single" w:sz="4" w:space="0" w:color="000000"/>
              <w:left w:val="single" w:sz="4" w:space="0" w:color="000000"/>
              <w:bottom w:val="single" w:sz="4" w:space="0" w:color="000000"/>
              <w:right w:val="single" w:sz="4" w:space="0" w:color="000000"/>
            </w:tcBorders>
            <w:shd w:color="auto" w:fill="70AD47" w:val="clear"/>
            <w:vAlign w:val="center"/>
          </w:tcPr>
          <w:p>
            <w:pPr>
              <w:pStyle w:val="Standard"/>
              <w:suppressAutoHyphens w:val="false"/>
              <w:rPr/>
            </w:pPr>
            <w:r>
              <w:rPr>
                <w:rFonts w:cs="Arial" w:ascii="Arial" w:hAnsi="Arial"/>
                <w:b/>
                <w:bCs/>
                <w:color w:val="000000"/>
                <w:sz w:val="16"/>
                <w:szCs w:val="16"/>
                <w:lang w:eastAsia="it-IT"/>
              </w:rPr>
              <w:t>Superamento Notturno Lnight</w:t>
            </w:r>
          </w:p>
          <w:p>
            <w:pPr>
              <w:pStyle w:val="Standard"/>
              <w:suppressAutoHyphens w:val="false"/>
              <w:rPr/>
            </w:pPr>
            <w:r>
              <w:rPr>
                <w:rFonts w:cs="Arial" w:ascii="Arial" w:hAnsi="Arial"/>
                <w:b/>
                <w:bCs/>
                <w:color w:val="000000"/>
                <w:sz w:val="16"/>
                <w:szCs w:val="16"/>
                <w:lang w:eastAsia="it-IT"/>
              </w:rPr>
              <w:t>dB(A)</w:t>
            </w:r>
          </w:p>
        </w:tc>
        <w:tc>
          <w:tcPr>
            <w:tcW w:w="934" w:type="dxa"/>
            <w:tcBorders>
              <w:top w:val="single" w:sz="4" w:space="0" w:color="000000"/>
              <w:left w:val="single" w:sz="4" w:space="0" w:color="000000"/>
              <w:bottom w:val="single" w:sz="4" w:space="0" w:color="000000"/>
              <w:right w:val="single" w:sz="4" w:space="0" w:color="000000"/>
            </w:tcBorders>
            <w:shd w:color="auto" w:fill="70AD47" w:val="clear"/>
            <w:vAlign w:val="center"/>
          </w:tcPr>
          <w:p>
            <w:pPr>
              <w:pStyle w:val="Standard"/>
              <w:suppressAutoHyphens w:val="false"/>
              <w:rPr/>
            </w:pPr>
            <w:r>
              <w:rPr>
                <w:rFonts w:cs="Arial" w:ascii="Arial" w:hAnsi="Arial"/>
                <w:b/>
                <w:bCs/>
                <w:color w:val="000000"/>
                <w:sz w:val="16"/>
                <w:szCs w:val="16"/>
                <w:lang w:eastAsia="it-IT"/>
              </w:rPr>
              <w:t>Indice Rischio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Asilo nido - Corso Europa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19</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 / CURA</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 / cura - Via Coghe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Istituto Tecnico - Via Baccaredda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17</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Carmine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firenze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porto torres</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Piazza Don Bosco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via tevere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Sacro Cuore - Via calabria 15</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Via Pola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 Corso America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 Via Cipro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Assemini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Scuole elementare  - Corso Europa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AREE PER L'UNIVERSITA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CURA</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cura - Via Cimarosa 32/b</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CURA</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cura - Via Sonnino 190</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CURA</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cura Maria Ausiliatrice - Via San Giovanni Bosco 4</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CURA</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cura San Salvatore - Via Scano 85</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 COMUNALE "Vittorio Emanuele"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per le Broncopneumopatie  INCRA - Via delle Cicale 11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Chatterbox English Play School  - Viale La Plaia 11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Complesso Classico G. Siotto G. Spano E. De Amicis   Via Falzarego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Complesso scolastico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Complesso scolastico G. Mameli  S'Alenixedda Scientifico Michelangelo - Piazza Giovanni XIII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CENTRO DI RIABILITAZIONE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EX SCUOLA - ATTUALMENTE CENTRO EX TRAPIANTATI DI FEGATO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Geometri O. Baccaredda Scientifico L.B. Alberti - Via Grandi 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Industria e Artigianato - A. Meucci  - Via Bainsizza 30</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Istituto Comprensivo Borgo S. Elia  - Via Schiavazzi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Istituto Comprensivo C. Colombo  - Via Del Sole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Istituto Industriale M. Giua  - Via Montecassino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Istituto Marconi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Istituto Nautico Buccari  - Viale Colombo 60</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Liceo Artistico Statale  - Via Bixio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Liceo Artistico Statale  - Via S. Giuseppe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Liceo Classico G.M. Dettori Commerciale P. Martini  - Via S. Eusebio 10</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Liceo Scientifico L.B. Alberti  - Via Ravenna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Liceo Scientifico Michelangelo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Liceo Scientifico Michelangelo  - Via Belgrado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 - SS Trinita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 Binaghi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 Brotzu</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 Businco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19</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 Civile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 Marino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Ospedale Microcitemico  - Via Jenner</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Pacinotti e Istituto Ragioneria - Viale Liguria e Ciusa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Santa Caterina  - Via Cannelles 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Monte Acuto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D. A. Azuni  - Via Is Maglias 158</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Buon Pastore  - Via S. Benedetto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7</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Carlo Felice  - Via S. Giacomo 111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D. Alighieri  - Via S. Isidoro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E. Toti 204</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Infanzia Lieta  - Via E. Lai 20</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L. Alagon - F. Ciusa  - Via Meilogu 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Laetitia - Via Fais 15</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Maria Immacolata   - Via Quesada 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Nanni Loi   - Via Schiavazzi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Piazza Pitagora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S. Pertini  - Via Carpaccio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Seminario - Via Cogoni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Servizi Servizi Sociali - S. Pertini  - Via Rolando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SS. Giorgio e Caterina  - Via Pietro Leo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U. Foscolo  - Via S. Rosa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U. Foscolo  - Viale Marconi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Umberto e Margherita  - Via Martini 13</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Venezia 2</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Bandello, 5</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Castagne Vizza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Castiglione 21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Corsica, 98</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Dei Genieri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del Sestante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Dessi' Deliperi, 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Dublino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F. Gioia 10</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Fermi, 19</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Garavetti 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Parigi, 11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Regina Elena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S. Maria Chiara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Scirocco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Serbariu</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Zefiro 20</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A. Casula  - Via Caboni 9</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A. Mereu  - Via Basilicata 24</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A. Riva  Piazza Garibalidi 2/ Via Bosa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Alziator - Via Asquer</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Benvenuto Cellini  - Via Generale Cantore 62</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Bingias II  - Via L. Corona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Caduti Grande Guerra  - Via Italia 61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Dante-Leopardi  - Via dei Partigiani 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Dante-Leopardi  - Via Zucca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19</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 d'Arborea Classico Dettori - Via Cugia-Carboni Boi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 D'ARBOREA  - Via Cornalias 169</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 D'ARBOREA  - Via S. Salvatore da Civita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Figlie di S. Giuseppe  - Via Falzarego 6</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G. Dessi - Via Koch</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G. Mameli  - Via Bligny 2</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G. Manno  - Via Del Colleggio 14-16</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G. Manno  - Via Lamarmora 124</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G.B. Tuveri  - Via Venezia 21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Madonna del Carmine  - Via Malta 28</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magistrale Sacro Cuore  - Via Macomer 29</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Marina e Stampace  - Via Baylle 76</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I Casati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Via Beato Angelico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Medaglia Miracolosa  - Piazza Medaglia Miracolosa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Paulo Freire Gianni Rodari  - Via Schiavazzi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Pulcini I. Stagno  - Via Is Mirrionis 84</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Regina Elena  - Via Stoccolma 1</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 Giuseppe   - Via E. Toti 198</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 Giuseppe  - Via S. Giorgio 6</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 Michele  - Via Redipuglia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 Satta  - Via G. M. Angioy 8</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S.Vincenzo De' Paoli  - Viale S.Vincenzo 55</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Sacra Famiglia  - Via Codroipo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Sacro Cuore  - Via S. Giovanni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Salvator Rosa  - Via Salvator Rosa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San Giuseppe Artigiano  - Via dei Cavalleggeri n6</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Via Abruzzi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Cagliari</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UNIVERSITA TEOLOGIA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Comunita┬á di recupero - Padri Somaschi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Istituto Tecnico Agrario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Buscaglia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Sestu</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comunale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Elmas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Santa Caterina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19</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19</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Complesso scolastico - Via Garibaldi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D'Annunzio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Colombo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Esmas (in fase di ristrutturazione)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Maracalagonis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Colombo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OSPEDALE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Policlinico Universitario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(stato di abbandono)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Argentina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D. Mure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del Redentore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Monte Albo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 Via San Gottardo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Tonara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18</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S.G.Monreale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Monserrato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superiore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Asilo nido Comunale - Via Boito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CURA</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cura - Via Silesu 10 e Scuola Media - Via Bach</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 - Mar Caspio 5</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 - Via Marco Polo 3</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CURA</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 AIAS - Casa di cura S. Elena - Via Turati e Viale Marconi 160</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Comunit├â┬á Alloggio per anziani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Istituto Porcu Satta - Via Turatti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Liceo Artistico e scuola media - Via Scarlatti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Liceo Brotzu</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Liceo classico statale - Via don Sturzo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 Via Boito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Cimabue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beethoven</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Mar Ligure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Alghero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Fieramosca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Firenze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Foscolo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Inghilterra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San Benedetto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Vico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Viale Colombo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e materna - Via Is Arenas</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ed asilo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La Nuvola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Via Decristoforis</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Garibaldi 60</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Via Perdabona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Raffaello e Scuola media - Via Tiziano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(presente nel contesto)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elementare</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privata (presente nel contesto) - Via Rattazzi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privata (presente nel contesto) - Via Sant'Antonio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 Via Bach</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 Via Perdalonga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 Via Portogallo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 Via Vespucci 22</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e materna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privata per mediatori linguistici - Via Dante 117</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superiore BTE (presente nel contesto) - Via Sant'Antonio 42</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superiore ENAP Sardegna - Via Brigata Sassari 84</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 Sant'Elena</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superiore Primo  Levi - Loc Pitz'e Serra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Quartucciu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Biserta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Quartucciu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Don Minzoni 7 (edificio in disuso)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Quartucciu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Guspini 2</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Quartucciu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Quartucciu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Primo Nievo - Via Tabarca - Via Ales</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Quartucciu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Scuole elementare e materna - Via Dante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Asilo  nido - Via Milazzo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Asilo nido (previsto)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 - Scuola materna - Via Lussu</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 Don Orione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cuola media ed elementare - Loc Paluna San Lussorio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17</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17</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Liceo scientifico  Via Primo Maggio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e media - Via Roma - Via Digione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Su Planu</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Parigi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San Nicol├â┬▓</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e materna - Via Rossini  / Via Bellini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Bixio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San Salvatore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San Nicol├â┬▓</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 Via Custoza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 Su Planu</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8</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Selargius</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Alighieri - ITG Nervi - Via Bixio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Asilo nido - Via Tripoli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Casa di riposo (in edificio con diverse destinazioni d'uso)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7</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Casa di riposo (in previsione - attualmente altri  usi)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Centro di riabilitazione</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20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 Verdi - Donizetti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della Resistenza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6</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Repubblica 6</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Via Galilei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BASSO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11</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Via Galilei</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9</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Augusto</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Via Sicilia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Vittorio Emanuele II 27</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ESMAS</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MEDIO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privata - Via Cocco Ortu 36</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media - Via Torino</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Sestu</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Gramsci - Via Dante 1</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Settimo San Pietro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10</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Settimo San Pietro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elementare - Via Sardegna</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Settimo San Pietro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elementare - Via Lussu</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15</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Settimo San Pietro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materna - Via San Giovanni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14</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b/>
                <w:bCs/>
                <w:color w:val="000000"/>
                <w:sz w:val="16"/>
                <w:szCs w:val="16"/>
                <w:lang w:eastAsia="it-IT"/>
              </w:rPr>
              <w:t>Settimo San Pietro</w:t>
            </w:r>
          </w:p>
        </w:tc>
        <w:tc>
          <w:tcPr>
            <w:tcW w:w="166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Scuola materna - Via Sardegna</w:t>
            </w:r>
          </w:p>
        </w:tc>
        <w:tc>
          <w:tcPr>
            <w:tcW w:w="13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8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13</w:t>
            </w:r>
          </w:p>
        </w:tc>
        <w:tc>
          <w:tcPr>
            <w:tcW w:w="9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Standard"/>
              <w:suppressAutoHyphens w:val="false"/>
              <w:rPr/>
            </w:pPr>
            <w:r>
              <w:rPr>
                <w:rFonts w:cs="Arial" w:ascii="Arial" w:hAnsi="Arial"/>
                <w:color w:val="000000"/>
                <w:sz w:val="16"/>
                <w:szCs w:val="16"/>
                <w:lang w:eastAsia="it-IT"/>
              </w:rPr>
              <w:t>ALTO</w:t>
            </w:r>
          </w:p>
        </w:tc>
      </w:tr>
      <w:tr>
        <w:trPr>
          <w:trHeight w:val="300" w:hRule="atLeast"/>
          <w:cantSplit w:val="true"/>
        </w:trPr>
        <w:tc>
          <w:tcPr>
            <w:tcW w:w="1557"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b/>
                <w:bCs/>
                <w:color w:val="000000"/>
                <w:sz w:val="16"/>
                <w:szCs w:val="16"/>
                <w:lang w:eastAsia="it-IT"/>
              </w:rPr>
              <w:t>Settimo San Pietro</w:t>
            </w:r>
          </w:p>
        </w:tc>
        <w:tc>
          <w:tcPr>
            <w:tcW w:w="1660"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ISTRUZIONE</w:t>
            </w:r>
          </w:p>
        </w:tc>
        <w:tc>
          <w:tcPr>
            <w:tcW w:w="188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Scuola media - Via Carducci</w:t>
            </w:r>
          </w:p>
        </w:tc>
        <w:tc>
          <w:tcPr>
            <w:tcW w:w="1376"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892"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12</w:t>
            </w:r>
          </w:p>
        </w:tc>
        <w:tc>
          <w:tcPr>
            <w:tcW w:w="934" w:type="dxa"/>
            <w:tcBorders>
              <w:top w:val="single" w:sz="4" w:space="0" w:color="000000"/>
              <w:left w:val="single" w:sz="4" w:space="0" w:color="000000"/>
              <w:bottom w:val="single" w:sz="4" w:space="0" w:color="000000"/>
              <w:right w:val="single" w:sz="4" w:space="0" w:color="000000"/>
            </w:tcBorders>
            <w:shd w:color="auto" w:fill="E2EFD9" w:val="clear"/>
            <w:vAlign w:val="center"/>
          </w:tcPr>
          <w:p>
            <w:pPr>
              <w:pStyle w:val="Standard"/>
              <w:suppressAutoHyphens w:val="false"/>
              <w:rPr/>
            </w:pPr>
            <w:r>
              <w:rPr>
                <w:rFonts w:cs="Arial" w:ascii="Arial" w:hAnsi="Arial"/>
                <w:color w:val="000000"/>
                <w:sz w:val="16"/>
                <w:szCs w:val="16"/>
                <w:lang w:eastAsia="it-IT"/>
              </w:rPr>
              <w:t>ALTO</w:t>
            </w:r>
          </w:p>
        </w:tc>
      </w:tr>
    </w:tbl>
    <w:p>
      <w:pPr>
        <w:pStyle w:val="Standard"/>
        <w:rPr>
          <w:b/>
          <w:sz w:val="18"/>
          <w:szCs w:val="18"/>
        </w:rPr>
      </w:pPr>
      <w:r>
        <w:rPr>
          <w:b/>
          <w:sz w:val="18"/>
          <w:szCs w:val="18"/>
        </w:rPr>
      </w:r>
    </w:p>
    <w:p>
      <w:pPr>
        <w:pStyle w:val="Standard"/>
        <w:widowControl/>
        <w:spacing w:lineRule="atLeast" w:line="300" w:before="120" w:after="120"/>
        <w:jc w:val="both"/>
        <w:textAlignment w:val="auto"/>
        <w:rPr>
          <w:rFonts w:ascii="Arial" w:hAnsi="Arial" w:eastAsia="Times New Roman" w:cs="Arial"/>
          <w:kern w:val="0"/>
          <w:sz w:val="20"/>
          <w:szCs w:val="18"/>
          <w:lang w:eastAsia="ar-SA" w:bidi="ar-SA"/>
        </w:rPr>
      </w:pPr>
      <w:r>
        <w:rPr>
          <w:rFonts w:eastAsia="Times New Roman" w:cs="Arial" w:ascii="Arial" w:hAnsi="Arial"/>
          <w:kern w:val="0"/>
          <w:sz w:val="20"/>
          <w:szCs w:val="18"/>
          <w:lang w:eastAsia="ar-SA" w:bidi="ar-SA"/>
        </w:rPr>
      </w:r>
      <w:r>
        <w:br w:type="page"/>
      </w:r>
    </w:p>
    <w:p>
      <w:pPr>
        <w:pStyle w:val="Standard"/>
        <w:spacing w:before="0" w:after="0"/>
        <w:rPr/>
      </w:pPr>
      <w:bookmarkStart w:id="112" w:name="__RefHeading___Toc7026_2081070003"/>
      <w:bookmarkEnd w:id="112"/>
      <w:r>
        <w:rPr>
          <w:rFonts w:cs="Arial" w:ascii="Arial" w:hAnsi="Arial"/>
          <w:b/>
          <w:sz w:val="22"/>
          <w:szCs w:val="20"/>
        </w:rPr>
        <w:t xml:space="preserve"> </w:t>
      </w:r>
      <w:r>
        <w:rPr>
          <w:rFonts w:cs="Arial" w:ascii="Arial" w:hAnsi="Arial"/>
          <w:b/>
          <w:sz w:val="22"/>
          <w:szCs w:val="20"/>
        </w:rPr>
        <w:t>Commenti</w:t>
      </w:r>
    </w:p>
    <w:p>
      <w:pPr>
        <w:pStyle w:val="NormaleCorpo"/>
        <w:rPr/>
      </w:pPr>
      <w:r>
        <w:rPr>
          <w:rFonts w:cs="Arial" w:ascii="Arial" w:hAnsi="Arial"/>
          <w:sz w:val="20"/>
          <w:szCs w:val="20"/>
        </w:rPr>
        <w:t>Nelle aree critiche individuate con il percorso descritto in precedenza risulta evidente che l’esposizione della popolazione al rumore è determinata dal flusso del traffico veicolare. Per i fini della presente relazione sono stati valutati gli effetti di alcune possibili azioni di riduzione di tale flusso di traffico, sia nella sua tipologia più generale (riduzione della velocità di transito) che nella sua composizione (riduzione del flusso dei mezzi pesanti).</w:t>
      </w:r>
    </w:p>
    <w:p>
      <w:pPr>
        <w:pStyle w:val="NormaleCorpo"/>
        <w:rPr/>
      </w:pPr>
      <w:r>
        <w:rPr>
          <w:rFonts w:cs="Arial" w:ascii="Arial" w:hAnsi="Arial"/>
          <w:sz w:val="20"/>
          <w:szCs w:val="20"/>
        </w:rPr>
        <w:t>Ferma restando l'efficacia della riduzione complessiva del flusso di traffico veicolare, che influisce ovviamente in maniera diretta sul livello di rumore, dai risultati delle elaborazioni per le aree trattate risulta che l'efficacia della riduzione della velocità di transito da 50 a 30 km/h consente di ridurre in modo evidente la popolazione esposta al rumore nelle classi di esposizione più elevate in quanto, generalmente, circa il 50% della popolazione delle classi di esposizione più elevate tende a spostarsi nella classe di esposizione inferiore.</w:t>
      </w:r>
    </w:p>
    <w:p>
      <w:pPr>
        <w:pStyle w:val="NormaleCorpo"/>
        <w:rPr/>
      </w:pPr>
      <w:r>
        <w:rPr>
          <w:rFonts w:cs="Arial" w:ascii="Arial" w:hAnsi="Arial"/>
          <w:sz w:val="20"/>
          <w:szCs w:val="20"/>
        </w:rPr>
        <w:t>Questo effetto è ulteriormente rafforzato dall'introduzione contemporanea della limitazione della velocità e della riduzione del flusso dei mezzi pesanti.</w:t>
      </w:r>
    </w:p>
    <w:p>
      <w:pPr>
        <w:pStyle w:val="NormaleCorpo"/>
        <w:rPr/>
      </w:pPr>
      <w:r>
        <w:rPr>
          <w:rFonts w:cs="Arial" w:ascii="Arial" w:hAnsi="Arial"/>
          <w:sz w:val="20"/>
          <w:szCs w:val="20"/>
        </w:rPr>
        <w:t>A tale proposito si evidenzia che tale obiettivo può essere raggiunto con provvedimenti tesi a rimodulare complessivamente il flusso dei mezzi pesanti sia in termini quantitativi che qualitativi.</w:t>
      </w:r>
    </w:p>
    <w:p>
      <w:pPr>
        <w:pStyle w:val="NormaleCorpo"/>
        <w:rPr/>
      </w:pPr>
      <w:r>
        <w:rPr>
          <w:rFonts w:cs="Arial" w:ascii="Arial" w:hAnsi="Arial"/>
          <w:sz w:val="20"/>
          <w:szCs w:val="20"/>
        </w:rPr>
        <w:t>Provvedimenti di analoga efficacia potrebbero essere ad esempio il rimodernamento del parco veicoli, l’introduzione di una percentuale significativa di mezzi elettrici, la regolamentazione dei flussi in fasce orarie di estensione limitata con maggiore attenzione alle limitazioni in orario notturno.</w:t>
      </w:r>
    </w:p>
    <w:p>
      <w:pPr>
        <w:pStyle w:val="Heading2"/>
        <w:numPr>
          <w:ilvl w:val="1"/>
          <w:numId w:val="288"/>
        </w:numPr>
        <w:rPr>
          <w:rFonts w:ascii="Arial" w:hAnsi="Arial" w:cs="Arial"/>
          <w:sz w:val="22"/>
          <w:szCs w:val="22"/>
          <w:lang w:eastAsia="ar-SA"/>
        </w:rPr>
      </w:pPr>
      <w:bookmarkStart w:id="113" w:name="__RefHeading___Toc7022_2081070003"/>
      <w:bookmarkStart w:id="114" w:name="_Toc171964445"/>
      <w:bookmarkEnd w:id="113"/>
      <w:r>
        <w:rPr>
          <w:rFonts w:cs="Arial" w:ascii="Arial" w:hAnsi="Arial"/>
          <w:sz w:val="22"/>
          <w:szCs w:val="22"/>
          <w:lang w:eastAsia="ar-SA"/>
        </w:rPr>
        <w:t>Valutazione efficacia azioni di rimedio</w:t>
      </w:r>
      <w:bookmarkEnd w:id="114"/>
    </w:p>
    <w:p>
      <w:pPr>
        <w:pStyle w:val="Standard"/>
        <w:spacing w:lineRule="auto" w:line="360" w:beforeAutospacing="1" w:after="120"/>
        <w:rPr>
          <w:rFonts w:ascii="Arial" w:hAnsi="Arial" w:cs="Arial"/>
          <w:sz w:val="20"/>
          <w:szCs w:val="20"/>
        </w:rPr>
      </w:pPr>
      <w:r>
        <w:rPr>
          <w:rFonts w:cs="Arial" w:ascii="Arial" w:hAnsi="Arial"/>
          <w:sz w:val="20"/>
          <w:szCs w:val="20"/>
        </w:rPr>
        <w:t>A seguito di specifici incontri sono pervenute alcune proposte di interventi da parte di Comuni dell’Agglomerato, nello specifico:</w:t>
      </w:r>
    </w:p>
    <w:p>
      <w:pPr>
        <w:pStyle w:val="Oggetto"/>
        <w:numPr>
          <w:ilvl w:val="0"/>
          <w:numId w:val="23"/>
        </w:numPr>
        <w:suppressAutoHyphens w:val="false"/>
        <w:spacing w:lineRule="auto" w:line="360" w:beforeAutospacing="1" w:after="120"/>
        <w:jc w:val="both"/>
        <w:rPr>
          <w:rFonts w:ascii="Arial" w:hAnsi="Arial" w:cs="Arial"/>
          <w:b w:val="false"/>
          <w:sz w:val="20"/>
          <w:szCs w:val="20"/>
        </w:rPr>
      </w:pPr>
      <w:r>
        <w:rPr>
          <w:rFonts w:cs="Arial" w:ascii="Arial" w:hAnsi="Arial"/>
          <w:b w:val="false"/>
          <w:sz w:val="20"/>
          <w:szCs w:val="20"/>
        </w:rPr>
        <w:t xml:space="preserve">Comune di Assemini con nota Prot. 38765 del 13/11/2024 </w:t>
      </w:r>
    </w:p>
    <w:p>
      <w:pPr>
        <w:pStyle w:val="Oggetto"/>
        <w:numPr>
          <w:ilvl w:val="0"/>
          <w:numId w:val="23"/>
        </w:numPr>
        <w:suppressAutoHyphens w:val="false"/>
        <w:spacing w:lineRule="auto" w:line="360" w:before="0" w:after="120"/>
        <w:jc w:val="both"/>
        <w:rPr>
          <w:rFonts w:ascii="Arial" w:hAnsi="Arial"/>
          <w:b w:val="false"/>
          <w:sz w:val="20"/>
          <w:szCs w:val="20"/>
        </w:rPr>
      </w:pPr>
      <w:r>
        <w:rPr>
          <w:rFonts w:cs="Arial" w:ascii="Arial" w:hAnsi="Arial"/>
          <w:b w:val="false"/>
          <w:sz w:val="20"/>
          <w:szCs w:val="20"/>
        </w:rPr>
        <w:t>Comune di Quartu Sant</w:t>
      </w:r>
      <w:r>
        <w:rPr>
          <w:rFonts w:cs="Arial" w:ascii="Arial" w:hAnsi="Arial"/>
          <w:b w:val="false"/>
          <w:sz w:val="20"/>
          <w:szCs w:val="20"/>
          <w:lang w:eastAsia="hi-IN"/>
        </w:rPr>
        <w:t xml:space="preserve">’Elena </w:t>
      </w:r>
      <w:r>
        <w:rPr>
          <w:rFonts w:cs="Arial" w:ascii="Arial" w:hAnsi="Arial"/>
          <w:b w:val="false"/>
          <w:sz w:val="20"/>
          <w:szCs w:val="20"/>
        </w:rPr>
        <w:t xml:space="preserve">con nota di cui al Prot. 42597 </w:t>
      </w:r>
      <w:r>
        <w:rPr>
          <w:rFonts w:cs="Arial" w:ascii="Arial" w:hAnsi="Arial"/>
          <w:b w:val="false"/>
          <w:sz w:val="20"/>
          <w:szCs w:val="20"/>
          <w:lang w:eastAsia="hi-IN"/>
        </w:rPr>
        <w:t>del 9/12/2024</w:t>
      </w:r>
      <w:r>
        <w:rPr>
          <w:rFonts w:cs="Arial" w:ascii="Arial" w:hAnsi="Arial"/>
          <w:b w:val="false"/>
          <w:sz w:val="20"/>
          <w:szCs w:val="20"/>
        </w:rPr>
        <w:t xml:space="preserve">  </w:t>
      </w:r>
    </w:p>
    <w:p>
      <w:pPr>
        <w:pStyle w:val="Oggetto"/>
        <w:numPr>
          <w:ilvl w:val="0"/>
          <w:numId w:val="23"/>
        </w:numPr>
        <w:suppressAutoHyphens w:val="false"/>
        <w:spacing w:lineRule="auto" w:line="360" w:before="0" w:after="120"/>
        <w:jc w:val="both"/>
        <w:rPr>
          <w:rFonts w:ascii="Arial" w:hAnsi="Arial" w:cs="Arial"/>
          <w:b w:val="false"/>
          <w:sz w:val="20"/>
          <w:szCs w:val="20"/>
        </w:rPr>
      </w:pPr>
      <w:r>
        <w:rPr>
          <w:rFonts w:cs="Arial" w:ascii="Arial" w:hAnsi="Arial"/>
          <w:b w:val="false"/>
          <w:sz w:val="20"/>
          <w:szCs w:val="20"/>
        </w:rPr>
        <w:t>Comune di Cagliari</w:t>
      </w:r>
    </w:p>
    <w:p>
      <w:pPr>
        <w:pStyle w:val="Normal"/>
        <w:widowControl/>
        <w:suppressAutoHyphens w:val="false"/>
        <w:spacing w:lineRule="auto" w:line="360" w:beforeAutospacing="1" w:after="120"/>
        <w:textAlignment w:val="auto"/>
        <w:rPr>
          <w:rFonts w:ascii="Arial" w:hAnsi="Arial" w:cs="Arial"/>
          <w:kern w:val="0"/>
          <w:sz w:val="20"/>
          <w:szCs w:val="20"/>
          <w:lang w:bidi="ar-SA"/>
        </w:rPr>
      </w:pPr>
      <w:r>
        <w:rPr>
          <w:rFonts w:cs="Arial" w:ascii="Arial" w:hAnsi="Arial"/>
          <w:sz w:val="20"/>
          <w:szCs w:val="20"/>
        </w:rPr>
        <w:t>Nello specifico il Comune di Assemini propone</w:t>
      </w:r>
      <w:r>
        <w:rPr>
          <w:rFonts w:cs="Arial" w:ascii="Arial" w:hAnsi="Arial"/>
          <w:kern w:val="0"/>
          <w:sz w:val="20"/>
          <w:szCs w:val="20"/>
          <w:lang w:bidi="ar-SA"/>
        </w:rPr>
        <w:t>:</w:t>
      </w:r>
    </w:p>
    <w:p>
      <w:pPr>
        <w:pStyle w:val="ListParagraph"/>
        <w:numPr>
          <w:ilvl w:val="0"/>
          <w:numId w:val="21"/>
        </w:numPr>
        <w:suppressAutoHyphens w:val="false"/>
        <w:spacing w:lineRule="auto" w:line="360" w:beforeAutospacing="1" w:after="120"/>
        <w:textAlignment w:val="auto"/>
        <w:rPr>
          <w:kern w:val="0"/>
        </w:rPr>
      </w:pPr>
      <w:r>
        <w:rPr>
          <w:kern w:val="0"/>
        </w:rPr>
        <w:t>il rifacimento del manto stradale in conglomerato fonoassorbente per le vie individuate ad “alto rischio”. Nello specifico: Corso America (circa 440 m), via Fratelli Rosselli (circa 80 m). via S. Satta (circa 80 m);</w:t>
      </w:r>
    </w:p>
    <w:p>
      <w:pPr>
        <w:pStyle w:val="ListParagraph"/>
        <w:numPr>
          <w:ilvl w:val="0"/>
          <w:numId w:val="21"/>
        </w:numPr>
        <w:suppressAutoHyphens w:val="false"/>
        <w:spacing w:lineRule="auto" w:line="360" w:before="0" w:after="120"/>
        <w:textAlignment w:val="auto"/>
        <w:rPr>
          <w:kern w:val="0"/>
        </w:rPr>
      </w:pPr>
      <w:r>
        <w:rPr>
          <w:kern w:val="0"/>
        </w:rPr>
        <w:t>Realizzazione di due piattaforme stradali rialzate lungo Corso America;</w:t>
      </w:r>
    </w:p>
    <w:p>
      <w:pPr>
        <w:pStyle w:val="Standard"/>
        <w:numPr>
          <w:ilvl w:val="0"/>
          <w:numId w:val="21"/>
        </w:numPr>
        <w:spacing w:lineRule="auto" w:line="360" w:before="0" w:after="120"/>
        <w:rPr>
          <w:rFonts w:ascii="Arial" w:hAnsi="Arial" w:cs="Arial"/>
          <w:kern w:val="0"/>
          <w:sz w:val="20"/>
          <w:szCs w:val="20"/>
          <w:lang w:bidi="ar-SA"/>
        </w:rPr>
      </w:pPr>
      <w:r>
        <w:rPr>
          <w:rFonts w:cs="Arial" w:ascii="Arial" w:hAnsi="Arial"/>
          <w:kern w:val="0"/>
          <w:sz w:val="20"/>
          <w:szCs w:val="20"/>
          <w:lang w:bidi="ar-SA"/>
        </w:rPr>
        <w:t>Segnaletica stradale</w:t>
      </w:r>
    </w:p>
    <w:p>
      <w:pPr>
        <w:pStyle w:val="Standard"/>
        <w:spacing w:lineRule="auto" w:line="360" w:beforeAutospacing="1" w:after="120"/>
        <w:rPr>
          <w:rFonts w:ascii="Arial" w:hAnsi="Arial" w:cs="Arial"/>
          <w:kern w:val="0"/>
          <w:sz w:val="20"/>
          <w:szCs w:val="20"/>
          <w:lang w:bidi="ar-SA"/>
        </w:rPr>
      </w:pPr>
      <w:r>
        <w:rPr>
          <w:rFonts w:cs="Arial" w:ascii="Arial" w:hAnsi="Arial"/>
          <w:kern w:val="0"/>
          <w:sz w:val="20"/>
          <w:szCs w:val="20"/>
          <w:lang w:bidi="ar-SA"/>
        </w:rPr>
        <w:t>Il Comune di Quartu Sant’Elena propone:</w:t>
      </w:r>
    </w:p>
    <w:p>
      <w:pPr>
        <w:pStyle w:val="Standard"/>
        <w:numPr>
          <w:ilvl w:val="0"/>
          <w:numId w:val="22"/>
        </w:numPr>
        <w:spacing w:lineRule="auto" w:line="360" w:beforeAutospacing="1" w:after="120"/>
        <w:rPr>
          <w:rFonts w:ascii="Arial" w:hAnsi="Arial" w:cs="Arial"/>
          <w:kern w:val="0"/>
          <w:sz w:val="20"/>
          <w:szCs w:val="20"/>
          <w:lang w:bidi="ar-SA"/>
        </w:rPr>
      </w:pPr>
      <w:r>
        <w:rPr>
          <w:rFonts w:cs="Arial" w:ascii="Arial" w:hAnsi="Arial"/>
          <w:kern w:val="0"/>
          <w:sz w:val="20"/>
          <w:szCs w:val="20"/>
          <w:lang w:bidi="ar-SA"/>
        </w:rPr>
        <w:t>Posizionamento barriere verdi antirumore nell’Area Critica Quartu 1 AC e in particolare lungo via Mascagni e via Turati.:</w:t>
      </w:r>
    </w:p>
    <w:p>
      <w:pPr>
        <w:pStyle w:val="Standard"/>
        <w:spacing w:lineRule="auto" w:line="360" w:beforeAutospacing="1" w:after="120"/>
        <w:rPr>
          <w:rFonts w:ascii="Arial" w:hAnsi="Arial" w:cs="Arial"/>
          <w:sz w:val="20"/>
          <w:szCs w:val="20"/>
        </w:rPr>
      </w:pPr>
      <w:r>
        <w:rPr>
          <w:rFonts w:cs="Arial" w:ascii="Arial" w:hAnsi="Arial"/>
          <w:sz w:val="20"/>
          <w:szCs w:val="20"/>
        </w:rPr>
        <w:t>Il Comune di Cagliari propone interventi articolati in:</w:t>
      </w:r>
    </w:p>
    <w:p>
      <w:pPr>
        <w:pStyle w:val="ListParagraph"/>
        <w:numPr>
          <w:ilvl w:val="0"/>
          <w:numId w:val="22"/>
        </w:numPr>
        <w:suppressAutoHyphens w:val="false"/>
        <w:spacing w:lineRule="auto" w:line="360" w:beforeAutospacing="1" w:after="120"/>
        <w:textAlignment w:val="auto"/>
        <w:rPr>
          <w:kern w:val="0"/>
          <w:lang w:eastAsia="it-IT"/>
        </w:rPr>
      </w:pPr>
      <w:r>
        <w:rPr>
          <w:kern w:val="0"/>
          <w:lang w:eastAsia="it-IT"/>
        </w:rPr>
        <w:t xml:space="preserve">Sistemi di rallentamento della velocità </w:t>
      </w:r>
    </w:p>
    <w:p>
      <w:pPr>
        <w:pStyle w:val="ListParagraph"/>
        <w:numPr>
          <w:ilvl w:val="0"/>
          <w:numId w:val="22"/>
        </w:numPr>
        <w:suppressAutoHyphens w:val="false"/>
        <w:spacing w:lineRule="auto" w:line="360" w:before="0" w:after="120"/>
        <w:textAlignment w:val="auto"/>
        <w:rPr>
          <w:kern w:val="0"/>
          <w:lang w:eastAsia="it-IT"/>
        </w:rPr>
      </w:pPr>
      <w:r>
        <w:rPr>
          <w:kern w:val="0"/>
          <w:lang w:eastAsia="it-IT"/>
        </w:rPr>
        <w:t>Istituzione di nuove ZONE 30</w:t>
      </w:r>
    </w:p>
    <w:p>
      <w:pPr>
        <w:pStyle w:val="ListParagraph"/>
        <w:numPr>
          <w:ilvl w:val="0"/>
          <w:numId w:val="22"/>
        </w:numPr>
        <w:suppressAutoHyphens w:val="false"/>
        <w:spacing w:lineRule="auto" w:line="360" w:before="0" w:after="120"/>
        <w:textAlignment w:val="auto"/>
        <w:rPr>
          <w:kern w:val="0"/>
          <w:lang w:eastAsia="it-IT"/>
        </w:rPr>
      </w:pPr>
      <w:r>
        <w:rPr>
          <w:kern w:val="0"/>
          <w:lang w:eastAsia="it-IT"/>
        </w:rPr>
        <w:t>Installazione di bitumi fonoassorbenti</w:t>
      </w:r>
    </w:p>
    <w:p>
      <w:pPr>
        <w:pStyle w:val="Standard"/>
        <w:spacing w:lineRule="auto" w:line="360" w:beforeAutospacing="1" w:after="120"/>
        <w:rPr>
          <w:rFonts w:ascii="Arial" w:hAnsi="Arial" w:cs="Arial"/>
          <w:sz w:val="20"/>
          <w:szCs w:val="20"/>
        </w:rPr>
      </w:pPr>
      <w:r>
        <w:rPr>
          <w:rFonts w:cs="Arial" w:ascii="Arial" w:hAnsi="Arial"/>
          <w:sz w:val="20"/>
          <w:szCs w:val="20"/>
        </w:rPr>
      </w:r>
    </w:p>
    <w:p>
      <w:pPr>
        <w:pStyle w:val="Standard"/>
        <w:spacing w:lineRule="auto" w:line="360" w:beforeAutospacing="1" w:after="120"/>
        <w:rPr>
          <w:rFonts w:ascii="Arial" w:hAnsi="Arial" w:cs="Arial"/>
          <w:b/>
          <w:sz w:val="20"/>
          <w:szCs w:val="20"/>
        </w:rPr>
      </w:pPr>
      <w:r>
        <w:rPr>
          <w:rFonts w:cs="Arial" w:ascii="Arial" w:hAnsi="Arial"/>
          <w:b/>
          <w:sz w:val="20"/>
          <w:szCs w:val="20"/>
        </w:rPr>
        <w:t>Interventi proposti dal Comune di Assemini</w:t>
      </w:r>
    </w:p>
    <w:p>
      <w:pPr>
        <w:pStyle w:val="Standard"/>
        <w:spacing w:lineRule="auto" w:line="360" w:beforeAutospacing="1" w:after="120"/>
        <w:rPr>
          <w:rFonts w:ascii="Arial" w:hAnsi="Arial" w:cs="Arial"/>
          <w:sz w:val="20"/>
          <w:szCs w:val="20"/>
        </w:rPr>
      </w:pPr>
      <w:r>
        <w:rPr>
          <w:rFonts w:cs="Arial" w:ascii="Arial" w:hAnsi="Arial"/>
          <w:sz w:val="20"/>
          <w:szCs w:val="20"/>
        </w:rPr>
        <w:t>La tabella seguente riporta l’efficacia della riduzione dell’esposizione della popolazione in seguito agli interventi proposti</w:t>
      </w:r>
    </w:p>
    <w:p>
      <w:pPr>
        <w:pStyle w:val="Standard"/>
        <w:rPr>
          <w:rFonts w:ascii="Arial" w:hAnsi="Arial" w:cs="Arial"/>
          <w:b/>
          <w:sz w:val="20"/>
          <w:szCs w:val="20"/>
        </w:rPr>
      </w:pPr>
      <w:r>
        <w:rPr>
          <w:rFonts w:cs="Arial" w:ascii="Arial" w:hAnsi="Arial"/>
          <w:b/>
          <w:sz w:val="20"/>
          <w:szCs w:val="20"/>
        </w:rPr>
      </w:r>
    </w:p>
    <w:p>
      <w:pPr>
        <w:pStyle w:val="Standard"/>
        <w:rPr>
          <w:rFonts w:ascii="Arial" w:hAnsi="Arial" w:cs="Arial"/>
          <w:b/>
          <w:sz w:val="20"/>
          <w:szCs w:val="20"/>
        </w:rPr>
      </w:pPr>
      <w:r>
        <w:rPr>
          <w:rFonts w:cs="Arial" w:ascii="Arial" w:hAnsi="Arial"/>
          <w:b/>
          <w:sz w:val="20"/>
          <w:szCs w:val="20"/>
        </w:rPr>
      </w:r>
    </w:p>
    <w:p>
      <w:pPr>
        <w:pStyle w:val="Normal"/>
        <w:rPr>
          <w:rFonts w:ascii="Arial" w:hAnsi="Arial" w:cs="Arial"/>
          <w:b/>
          <w:sz w:val="20"/>
          <w:szCs w:val="20"/>
        </w:rPr>
      </w:pPr>
      <w:r>
        <w:rPr>
          <w:rFonts w:cs="Arial" w:ascii="Arial" w:hAnsi="Arial"/>
          <w:b/>
          <w:sz w:val="20"/>
          <w:szCs w:val="20"/>
        </w:rPr>
      </w:r>
      <w:r>
        <w:br w:type="page"/>
      </w:r>
    </w:p>
    <w:p>
      <w:pPr>
        <w:pStyle w:val="Standard"/>
        <w:spacing w:before="0" w:after="0"/>
        <w:rPr>
          <w:rFonts w:ascii="Arial" w:hAnsi="Arial" w:cs="Arial"/>
          <w:b/>
          <w:sz w:val="20"/>
          <w:szCs w:val="20"/>
        </w:rPr>
      </w:pPr>
      <w:r>
        <w:rPr>
          <w:rFonts w:cs="Arial" w:ascii="Arial" w:hAnsi="Arial"/>
          <w:b/>
          <w:sz w:val="20"/>
          <w:szCs w:val="20"/>
        </w:rPr>
        <w:t>LDEN</w:t>
      </w:r>
    </w:p>
    <w:tbl>
      <w:tblPr>
        <w:tblStyle w:val="Tabellagriglia5scura-colore6"/>
        <w:tblW w:w="9891" w:type="dxa"/>
        <w:jc w:val="left"/>
        <w:tblInd w:w="-5" w:type="dxa"/>
        <w:shd w:fill="E2EFD9" w:val="clear"/>
        <w:tblLayout w:type="fixed"/>
        <w:tblCellMar>
          <w:top w:w="0" w:type="dxa"/>
          <w:left w:w="108" w:type="dxa"/>
          <w:bottom w:w="0" w:type="dxa"/>
          <w:right w:w="108" w:type="dxa"/>
        </w:tblCellMar>
        <w:tblLook w:firstRow="1" w:noVBand="1" w:lastRow="0" w:firstColumn="1" w:lastColumn="0" w:noHBand="0" w:val="04a0"/>
      </w:tblPr>
      <w:tblGrid>
        <w:gridCol w:w="1133"/>
        <w:gridCol w:w="993"/>
        <w:gridCol w:w="851"/>
        <w:gridCol w:w="1133"/>
        <w:gridCol w:w="992"/>
        <w:gridCol w:w="1088"/>
        <w:gridCol w:w="897"/>
        <w:gridCol w:w="992"/>
        <w:gridCol w:w="851"/>
        <w:gridCol w:w="960"/>
      </w:tblGrid>
      <w:tr>
        <w:trPr>
          <w:trHeight w:val="1500" w:hRule="atLeast"/>
          <w:cnfStyle w:val="100000000000" w:firstRow="1" w:lastRow="0" w:firstColumn="0" w:lastColumn="0" w:oddVBand="0" w:evenVBand="0" w:oddHBand="0" w:evenHBand="0" w:firstRowFirstColumn="0" w:firstRowLastColumn="0" w:lastRowFirstColumn="0" w:lastRowLastColumn="0"/>
        </w:trPr>
        <w:tc>
          <w:tcPr>
            <w:tcW w:w="1133" w:type="dxa"/>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Denominazione</w:t>
            </w:r>
          </w:p>
        </w:tc>
        <w:tc>
          <w:tcPr>
            <w:tcW w:w="993"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Rischio pre interventi</w:t>
            </w:r>
          </w:p>
        </w:tc>
        <w:tc>
          <w:tcPr>
            <w:tcW w:w="851"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LIMITI LDEN</w:t>
            </w:r>
          </w:p>
        </w:tc>
        <w:tc>
          <w:tcPr>
            <w:tcW w:w="1133"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Popolazione esposta pre interventi</w:t>
            </w:r>
          </w:p>
        </w:tc>
        <w:tc>
          <w:tcPr>
            <w:tcW w:w="992"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Lden dB(A) pre interventi</w:t>
            </w:r>
          </w:p>
        </w:tc>
        <w:tc>
          <w:tcPr>
            <w:tcW w:w="1088"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Indice_Criticità pre interventi</w:t>
            </w:r>
          </w:p>
        </w:tc>
        <w:tc>
          <w:tcPr>
            <w:tcW w:w="897"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Popolazione post interventi</w:t>
            </w:r>
          </w:p>
        </w:tc>
        <w:tc>
          <w:tcPr>
            <w:tcW w:w="992"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Lden dB(A) post interventi</w:t>
            </w:r>
          </w:p>
        </w:tc>
        <w:tc>
          <w:tcPr>
            <w:tcW w:w="851"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Indice_Criticità post interventi</w:t>
            </w:r>
          </w:p>
        </w:tc>
        <w:tc>
          <w:tcPr>
            <w:tcW w:w="960" w:type="dxa"/>
            <w:tcBorders>
              <w:top w:val="single" w:sz="4" w:space="0" w:color="000000"/>
              <w:left w:val="nil"/>
              <w:bottom w:val="nil"/>
              <w:right w:val="single" w:sz="4" w:space="0" w:color="000000"/>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Rischio post interventi</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33"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ASSEMINI1 AC</w:t>
            </w:r>
          </w:p>
        </w:tc>
        <w:tc>
          <w:tcPr>
            <w:tcW w:w="99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BASSO</w:t>
            </w:r>
          </w:p>
        </w:tc>
        <w:tc>
          <w:tcPr>
            <w:tcW w:w="85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60</w:t>
            </w:r>
          </w:p>
        </w:tc>
        <w:tc>
          <w:tcPr>
            <w:tcW w:w="113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407</w:t>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79</w:t>
            </w:r>
          </w:p>
        </w:tc>
        <w:tc>
          <w:tcPr>
            <w:tcW w:w="108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7011</w:t>
            </w:r>
          </w:p>
        </w:tc>
        <w:tc>
          <w:tcPr>
            <w:tcW w:w="897"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0</w:t>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48</w:t>
            </w:r>
          </w:p>
        </w:tc>
        <w:tc>
          <w:tcPr>
            <w:tcW w:w="85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0</w:t>
            </w:r>
          </w:p>
        </w:tc>
        <w:tc>
          <w:tcPr>
            <w:tcW w:w="96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NULLO</w:t>
            </w:r>
          </w:p>
        </w:tc>
      </w:tr>
      <w:tr>
        <w:trPr>
          <w:trHeight w:val="300" w:hRule="atLeast"/>
        </w:trPr>
        <w:tc>
          <w:tcPr>
            <w:tcW w:w="1133"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ASSEMINI2 AC</w:t>
            </w:r>
          </w:p>
        </w:tc>
        <w:tc>
          <w:tcPr>
            <w:tcW w:w="99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BASSO</w:t>
            </w:r>
          </w:p>
        </w:tc>
        <w:tc>
          <w:tcPr>
            <w:tcW w:w="85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55</w:t>
            </w:r>
          </w:p>
        </w:tc>
        <w:tc>
          <w:tcPr>
            <w:tcW w:w="113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188</w:t>
            </w:r>
          </w:p>
        </w:tc>
        <w:tc>
          <w:tcPr>
            <w:tcW w:w="99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78</w:t>
            </w:r>
          </w:p>
        </w:tc>
        <w:tc>
          <w:tcPr>
            <w:tcW w:w="1088"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3284</w:t>
            </w:r>
          </w:p>
        </w:tc>
        <w:tc>
          <w:tcPr>
            <w:tcW w:w="89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36</w:t>
            </w:r>
          </w:p>
        </w:tc>
        <w:tc>
          <w:tcPr>
            <w:tcW w:w="99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47,13</w:t>
            </w:r>
          </w:p>
        </w:tc>
        <w:tc>
          <w:tcPr>
            <w:tcW w:w="85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4,7</w:t>
            </w:r>
          </w:p>
        </w:tc>
        <w:tc>
          <w:tcPr>
            <w:tcW w:w="96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NULLO</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33"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ASSEMINI3 AC</w:t>
            </w:r>
          </w:p>
        </w:tc>
        <w:tc>
          <w:tcPr>
            <w:tcW w:w="99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BASSO</w:t>
            </w:r>
          </w:p>
        </w:tc>
        <w:tc>
          <w:tcPr>
            <w:tcW w:w="85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55-60</w:t>
            </w:r>
          </w:p>
        </w:tc>
        <w:tc>
          <w:tcPr>
            <w:tcW w:w="113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234</w:t>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74</w:t>
            </w:r>
          </w:p>
        </w:tc>
        <w:tc>
          <w:tcPr>
            <w:tcW w:w="108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4335</w:t>
            </w:r>
          </w:p>
        </w:tc>
        <w:tc>
          <w:tcPr>
            <w:tcW w:w="897"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0</w:t>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46,19</w:t>
            </w:r>
          </w:p>
        </w:tc>
        <w:tc>
          <w:tcPr>
            <w:tcW w:w="85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0</w:t>
            </w:r>
          </w:p>
        </w:tc>
        <w:tc>
          <w:tcPr>
            <w:tcW w:w="96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NULLO</w:t>
            </w:r>
          </w:p>
        </w:tc>
      </w:tr>
      <w:tr>
        <w:trPr>
          <w:trHeight w:val="300" w:hRule="atLeast"/>
        </w:trPr>
        <w:tc>
          <w:tcPr>
            <w:tcW w:w="1133"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ASSEMINI4 AC</w:t>
            </w:r>
          </w:p>
        </w:tc>
        <w:tc>
          <w:tcPr>
            <w:tcW w:w="99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BASSO</w:t>
            </w:r>
          </w:p>
        </w:tc>
        <w:tc>
          <w:tcPr>
            <w:tcW w:w="85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55</w:t>
            </w:r>
          </w:p>
        </w:tc>
        <w:tc>
          <w:tcPr>
            <w:tcW w:w="113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168</w:t>
            </w:r>
          </w:p>
        </w:tc>
        <w:tc>
          <w:tcPr>
            <w:tcW w:w="99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75</w:t>
            </w:r>
          </w:p>
        </w:tc>
        <w:tc>
          <w:tcPr>
            <w:tcW w:w="1088"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3102</w:t>
            </w:r>
          </w:p>
        </w:tc>
        <w:tc>
          <w:tcPr>
            <w:tcW w:w="89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0</w:t>
            </w:r>
          </w:p>
        </w:tc>
        <w:tc>
          <w:tcPr>
            <w:tcW w:w="99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46</w:t>
            </w:r>
          </w:p>
        </w:tc>
        <w:tc>
          <w:tcPr>
            <w:tcW w:w="85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0</w:t>
            </w:r>
          </w:p>
        </w:tc>
        <w:tc>
          <w:tcPr>
            <w:tcW w:w="96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NULLO</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2977" w:type="dxa"/>
            <w:gridSpan w:val="3"/>
            <w:cnfStyle w:val="001000000000" w:firstRow="0" w:lastRow="0" w:firstColumn="1" w:lastColumn="0" w:oddVBand="0" w:evenVBand="0" w:oddHBand="0" w:evenHBand="0" w:firstRowFirstColumn="0" w:firstRowLastColumn="0" w:lastRowFirstColumn="0" w:lastRowLastColumn="0"/>
            <w:tcBorders>
              <w:left w:val="single" w:sz="4" w:space="0" w:color="000000"/>
              <w:bottom w:val="single" w:sz="4" w:space="0" w:color="000000"/>
              <w:right w:val="nil"/>
            </w:tcBorders>
            <w:shd w:color="auto" w:fill="70AD47" w:themeFill="accent6" w:val="clear"/>
          </w:tcPr>
          <w:p>
            <w:pPr>
              <w:pStyle w:val="Normal"/>
              <w:widowControl/>
              <w:suppressAutoHyphens w:val="false"/>
              <w:spacing w:before="0" w:after="0"/>
              <w:jc w:val="left"/>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TOTALE</w:t>
            </w:r>
          </w:p>
        </w:tc>
        <w:tc>
          <w:tcPr>
            <w:tcW w:w="113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b/>
                <w:color w:val="000000"/>
                <w:kern w:val="0"/>
                <w:sz w:val="16"/>
                <w:szCs w:val="22"/>
                <w:lang w:eastAsia="it-IT" w:bidi="ar-SA"/>
              </w:rPr>
            </w:pPr>
            <w:r>
              <w:rPr>
                <w:rFonts w:eastAsia="Times New Roman" w:cs="Calibri" w:ascii="Calibri" w:hAnsi="Calibri"/>
                <w:b/>
                <w:color w:val="000000"/>
                <w:kern w:val="0"/>
                <w:sz w:val="16"/>
                <w:szCs w:val="22"/>
                <w:lang w:val="it-IT" w:eastAsia="it-IT" w:bidi="ar-SA"/>
              </w:rPr>
              <w:t>997</w:t>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b/>
                <w:color w:val="000000"/>
                <w:kern w:val="0"/>
                <w:sz w:val="16"/>
                <w:szCs w:val="22"/>
                <w:lang w:eastAsia="it-IT" w:bidi="ar-SA"/>
              </w:rPr>
            </w:pPr>
            <w:r>
              <w:rPr>
                <w:rFonts w:eastAsia="Times New Roman" w:cs="Calibri" w:ascii="Calibri" w:hAnsi="Calibri"/>
                <w:b/>
                <w:color w:val="000000"/>
                <w:kern w:val="0"/>
                <w:sz w:val="16"/>
                <w:szCs w:val="22"/>
                <w:lang w:eastAsia="it-IT" w:bidi="ar-SA"/>
              </w:rPr>
            </w:r>
          </w:p>
        </w:tc>
        <w:tc>
          <w:tcPr>
            <w:tcW w:w="108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eastAsia="Times New Roman" w:cs="Times New Roman"/>
                <w:b/>
                <w:kern w:val="0"/>
                <w:sz w:val="16"/>
                <w:szCs w:val="20"/>
                <w:lang w:eastAsia="it-IT" w:bidi="ar-SA"/>
              </w:rPr>
            </w:pPr>
            <w:r>
              <w:rPr>
                <w:rFonts w:eastAsia="Times New Roman" w:cs="Times New Roman"/>
                <w:b/>
                <w:kern w:val="0"/>
                <w:sz w:val="16"/>
                <w:szCs w:val="20"/>
                <w:lang w:eastAsia="it-IT" w:bidi="ar-SA"/>
              </w:rPr>
            </w:r>
          </w:p>
        </w:tc>
        <w:tc>
          <w:tcPr>
            <w:tcW w:w="897"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b/>
                <w:color w:val="000000"/>
                <w:kern w:val="0"/>
                <w:sz w:val="16"/>
                <w:szCs w:val="22"/>
                <w:lang w:eastAsia="it-IT" w:bidi="ar-SA"/>
              </w:rPr>
            </w:pPr>
            <w:r>
              <w:rPr>
                <w:rFonts w:eastAsia="Times New Roman" w:cs="Calibri" w:ascii="Calibri" w:hAnsi="Calibri"/>
                <w:b/>
                <w:color w:val="000000"/>
                <w:kern w:val="0"/>
                <w:sz w:val="16"/>
                <w:szCs w:val="22"/>
                <w:lang w:val="it-IT" w:eastAsia="it-IT" w:bidi="ar-SA"/>
              </w:rPr>
              <w:t>36</w:t>
            </w:r>
          </w:p>
        </w:tc>
        <w:tc>
          <w:tcPr>
            <w:tcW w:w="992" w:type="dxa"/>
            <w:tcBorders>
              <w:top w:val="nil"/>
              <w:left w:val="nil"/>
              <w:bottom w:val="nil"/>
              <w:right w:val="nil"/>
            </w:tcBorders>
            <w:shd w:color="auto" w:fill="C5E0B3" w:themeFill="accent6" w:themeFillTint="66"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c>
          <w:tcPr>
            <w:tcW w:w="851" w:type="dxa"/>
            <w:tcBorders>
              <w:top w:val="nil"/>
              <w:left w:val="nil"/>
              <w:bottom w:val="nil"/>
              <w:right w:val="nil"/>
            </w:tcBorders>
            <w:shd w:color="auto" w:fill="C5E0B3" w:themeFill="accent6" w:themeFillTint="66"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c>
          <w:tcPr>
            <w:tcW w:w="960" w:type="dxa"/>
            <w:tcBorders>
              <w:top w:val="nil"/>
              <w:left w:val="nil"/>
              <w:bottom w:val="nil"/>
              <w:right w:val="nil"/>
            </w:tcBorders>
            <w:shd w:color="auto" w:fill="C5E0B3" w:themeFill="accent6" w:themeFillTint="66"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r>
    </w:tbl>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b/>
          <w:sz w:val="20"/>
          <w:szCs w:val="20"/>
        </w:rPr>
      </w:pPr>
      <w:r>
        <w:rPr>
          <w:rFonts w:cs="Arial" w:ascii="Arial" w:hAnsi="Arial"/>
          <w:b/>
          <w:sz w:val="20"/>
          <w:szCs w:val="20"/>
        </w:rPr>
        <w:t>LNIGHT</w:t>
      </w:r>
    </w:p>
    <w:tbl>
      <w:tblPr>
        <w:tblStyle w:val="Tabellagriglia5scura-colore6"/>
        <w:tblW w:w="10075" w:type="dxa"/>
        <w:jc w:val="left"/>
        <w:tblInd w:w="-5" w:type="dxa"/>
        <w:shd w:fill="E2EFD9" w:val="clear"/>
        <w:tblLayout w:type="fixed"/>
        <w:tblCellMar>
          <w:top w:w="0" w:type="dxa"/>
          <w:left w:w="108" w:type="dxa"/>
          <w:bottom w:w="0" w:type="dxa"/>
          <w:right w:w="108" w:type="dxa"/>
        </w:tblCellMar>
        <w:tblLook w:firstRow="1" w:noVBand="1" w:lastRow="0" w:firstColumn="1" w:lastColumn="0" w:noHBand="0" w:val="04a0"/>
      </w:tblPr>
      <w:tblGrid>
        <w:gridCol w:w="1134"/>
        <w:gridCol w:w="959"/>
        <w:gridCol w:w="884"/>
        <w:gridCol w:w="1133"/>
        <w:gridCol w:w="1119"/>
        <w:gridCol w:w="962"/>
        <w:gridCol w:w="959"/>
        <w:gridCol w:w="1118"/>
        <w:gridCol w:w="814"/>
        <w:gridCol w:w="992"/>
      </w:tblGrid>
      <w:tr>
        <w:trPr>
          <w:trHeight w:val="300" w:hRule="atLeast"/>
          <w:cnfStyle w:val="100000000000" w:firstRow="1" w:lastRow="0" w:firstColumn="0" w:lastColumn="0" w:oddVBand="0" w:evenVBand="0" w:oddHBand="0" w:evenHBand="0" w:firstRowFirstColumn="0" w:firstRowLastColumn="0" w:lastRowFirstColumn="0" w:lastRowLastColumn="0"/>
        </w:trPr>
        <w:tc>
          <w:tcPr>
            <w:tcW w:w="1134" w:type="dxa"/>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Denominazione</w:t>
            </w:r>
          </w:p>
        </w:tc>
        <w:tc>
          <w:tcPr>
            <w:tcW w:w="959"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CRITICITA'</w:t>
            </w:r>
          </w:p>
        </w:tc>
        <w:tc>
          <w:tcPr>
            <w:tcW w:w="884"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LIMITI_N dB(A)</w:t>
            </w:r>
          </w:p>
        </w:tc>
        <w:tc>
          <w:tcPr>
            <w:tcW w:w="1133"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Popolazione</w:t>
            </w:r>
          </w:p>
        </w:tc>
        <w:tc>
          <w:tcPr>
            <w:tcW w:w="1119"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LAEQ_NIGHT dB(A)</w:t>
            </w:r>
          </w:p>
        </w:tc>
        <w:tc>
          <w:tcPr>
            <w:tcW w:w="962"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Indice criticità</w:t>
            </w:r>
          </w:p>
        </w:tc>
        <w:tc>
          <w:tcPr>
            <w:tcW w:w="959"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Popolazione</w:t>
            </w:r>
          </w:p>
        </w:tc>
        <w:tc>
          <w:tcPr>
            <w:tcW w:w="1118"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LAEQ_NIGHT dB(A)</w:t>
            </w:r>
          </w:p>
        </w:tc>
        <w:tc>
          <w:tcPr>
            <w:tcW w:w="814"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Indice criticità</w:t>
            </w:r>
          </w:p>
        </w:tc>
        <w:tc>
          <w:tcPr>
            <w:tcW w:w="992" w:type="dxa"/>
            <w:tcBorders>
              <w:top w:val="single" w:sz="4" w:space="0" w:color="000000"/>
              <w:left w:val="nil"/>
              <w:bottom w:val="nil"/>
              <w:right w:val="single" w:sz="4" w:space="0" w:color="000000"/>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CRITICITA'</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34"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ASSEMINI1 ACN</w:t>
            </w:r>
          </w:p>
        </w:tc>
        <w:tc>
          <w:tcPr>
            <w:tcW w:w="95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BASSA</w:t>
            </w:r>
          </w:p>
        </w:tc>
        <w:tc>
          <w:tcPr>
            <w:tcW w:w="88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50</w:t>
            </w:r>
          </w:p>
        </w:tc>
        <w:tc>
          <w:tcPr>
            <w:tcW w:w="113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407</w:t>
            </w:r>
          </w:p>
        </w:tc>
        <w:tc>
          <w:tcPr>
            <w:tcW w:w="111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68</w:t>
            </w:r>
          </w:p>
        </w:tc>
        <w:tc>
          <w:tcPr>
            <w:tcW w:w="96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6954</w:t>
            </w:r>
          </w:p>
        </w:tc>
        <w:tc>
          <w:tcPr>
            <w:tcW w:w="95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111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52,35</w:t>
            </w:r>
          </w:p>
        </w:tc>
        <w:tc>
          <w:tcPr>
            <w:tcW w:w="81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NULLA</w:t>
            </w:r>
          </w:p>
        </w:tc>
      </w:tr>
      <w:tr>
        <w:trPr>
          <w:trHeight w:val="300" w:hRule="atLeast"/>
        </w:trPr>
        <w:tc>
          <w:tcPr>
            <w:tcW w:w="1134"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ASSEMINI2 ACN</w:t>
            </w:r>
          </w:p>
        </w:tc>
        <w:tc>
          <w:tcPr>
            <w:tcW w:w="95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BASSA</w:t>
            </w:r>
          </w:p>
        </w:tc>
        <w:tc>
          <w:tcPr>
            <w:tcW w:w="88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50</w:t>
            </w:r>
          </w:p>
        </w:tc>
        <w:tc>
          <w:tcPr>
            <w:tcW w:w="113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188</w:t>
            </w:r>
          </w:p>
        </w:tc>
        <w:tc>
          <w:tcPr>
            <w:tcW w:w="111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68</w:t>
            </w:r>
          </w:p>
        </w:tc>
        <w:tc>
          <w:tcPr>
            <w:tcW w:w="96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3260</w:t>
            </w:r>
          </w:p>
        </w:tc>
        <w:tc>
          <w:tcPr>
            <w:tcW w:w="95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1118"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54,4</w:t>
            </w:r>
          </w:p>
        </w:tc>
        <w:tc>
          <w:tcPr>
            <w:tcW w:w="81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99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NULLA</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34" w:type="dxa"/>
            <w:cnfStyle w:val="001000000000" w:firstRow="0" w:lastRow="0" w:firstColumn="1" w:lastColumn="0" w:oddVBand="0" w:evenVBand="0" w:oddHBand="0" w:evenHBand="0" w:firstRowFirstColumn="0" w:firstRowLastColumn="0" w:lastRowFirstColumn="0" w:lastRowLastColumn="0"/>
            <w:tcBorders>
              <w:left w:val="single" w:sz="4" w:space="0" w:color="000000"/>
              <w:bottom w:val="single" w:sz="4" w:space="0" w:color="000000"/>
              <w:right w:val="nil"/>
            </w:tcBorders>
            <w:shd w:color="auto" w:fill="70AD47" w:themeFill="accent6" w:val="clear"/>
            <w:vAlign w:val="cente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TOTALE</w:t>
            </w:r>
          </w:p>
        </w:tc>
        <w:tc>
          <w:tcPr>
            <w:tcW w:w="95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kern w:val="0"/>
                <w:sz w:val="14"/>
                <w:szCs w:val="16"/>
                <w:lang w:eastAsia="it-IT" w:bidi="ar-SA"/>
              </w:rPr>
            </w:pPr>
            <w:r>
              <w:rPr>
                <w:rFonts w:eastAsia="Times New Roman" w:cs="Arial" w:ascii="Arial" w:hAnsi="Arial"/>
                <w:b/>
                <w:kern w:val="0"/>
                <w:sz w:val="14"/>
                <w:szCs w:val="16"/>
                <w:lang w:eastAsia="it-IT" w:bidi="ar-SA"/>
              </w:rPr>
            </w:r>
          </w:p>
        </w:tc>
        <w:tc>
          <w:tcPr>
            <w:tcW w:w="88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kern w:val="0"/>
                <w:sz w:val="14"/>
                <w:szCs w:val="16"/>
                <w:lang w:eastAsia="it-IT" w:bidi="ar-SA"/>
              </w:rPr>
            </w:pPr>
            <w:r>
              <w:rPr>
                <w:rFonts w:eastAsia="Times New Roman" w:cs="Arial" w:ascii="Arial" w:hAnsi="Arial"/>
                <w:b/>
                <w:kern w:val="0"/>
                <w:sz w:val="14"/>
                <w:szCs w:val="16"/>
                <w:lang w:eastAsia="it-IT" w:bidi="ar-SA"/>
              </w:rPr>
            </w:r>
          </w:p>
        </w:tc>
        <w:tc>
          <w:tcPr>
            <w:tcW w:w="113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val="it-IT" w:eastAsia="it-IT" w:bidi="ar-SA"/>
              </w:rPr>
              <w:t>595</w:t>
            </w:r>
          </w:p>
        </w:tc>
        <w:tc>
          <w:tcPr>
            <w:tcW w:w="111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eastAsia="it-IT" w:bidi="ar-SA"/>
              </w:rPr>
            </w:r>
          </w:p>
        </w:tc>
        <w:tc>
          <w:tcPr>
            <w:tcW w:w="96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kern w:val="0"/>
                <w:sz w:val="14"/>
                <w:szCs w:val="16"/>
                <w:lang w:eastAsia="it-IT" w:bidi="ar-SA"/>
              </w:rPr>
            </w:pPr>
            <w:r>
              <w:rPr>
                <w:rFonts w:eastAsia="Times New Roman" w:cs="Arial" w:ascii="Arial" w:hAnsi="Arial"/>
                <w:b/>
                <w:kern w:val="0"/>
                <w:sz w:val="14"/>
                <w:szCs w:val="16"/>
                <w:lang w:eastAsia="it-IT" w:bidi="ar-SA"/>
              </w:rPr>
            </w:r>
          </w:p>
        </w:tc>
        <w:tc>
          <w:tcPr>
            <w:tcW w:w="95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val="it-IT" w:eastAsia="it-IT" w:bidi="ar-SA"/>
              </w:rPr>
              <w:t>0</w:t>
            </w:r>
          </w:p>
        </w:tc>
        <w:tc>
          <w:tcPr>
            <w:tcW w:w="111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eastAsia="it-IT" w:bidi="ar-SA"/>
              </w:rPr>
            </w:r>
          </w:p>
        </w:tc>
        <w:tc>
          <w:tcPr>
            <w:tcW w:w="81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kern w:val="0"/>
                <w:sz w:val="14"/>
                <w:szCs w:val="16"/>
                <w:lang w:eastAsia="it-IT" w:bidi="ar-SA"/>
              </w:rPr>
            </w:pPr>
            <w:r>
              <w:rPr>
                <w:rFonts w:eastAsia="Times New Roman" w:cs="Arial" w:ascii="Arial" w:hAnsi="Arial"/>
                <w:b/>
                <w:kern w:val="0"/>
                <w:sz w:val="14"/>
                <w:szCs w:val="16"/>
                <w:lang w:eastAsia="it-IT" w:bidi="ar-SA"/>
              </w:rPr>
            </w:r>
          </w:p>
        </w:tc>
        <w:tc>
          <w:tcPr>
            <w:tcW w:w="99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b/>
                <w:kern w:val="0"/>
                <w:sz w:val="14"/>
                <w:szCs w:val="16"/>
                <w:lang w:eastAsia="it-IT" w:bidi="ar-SA"/>
              </w:rPr>
            </w:pPr>
            <w:r>
              <w:rPr>
                <w:rFonts w:eastAsia="Times New Roman" w:cs="Arial" w:ascii="Arial" w:hAnsi="Arial"/>
                <w:b/>
                <w:kern w:val="0"/>
                <w:sz w:val="14"/>
                <w:szCs w:val="16"/>
                <w:lang w:eastAsia="it-IT" w:bidi="ar-SA"/>
              </w:rPr>
            </w:r>
          </w:p>
        </w:tc>
      </w:tr>
    </w:tbl>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spacing w:lineRule="auto" w:line="360" w:beforeAutospacing="1" w:after="120"/>
        <w:rPr>
          <w:rFonts w:ascii="Arial" w:hAnsi="Arial" w:cs="Arial"/>
          <w:b/>
          <w:sz w:val="20"/>
          <w:szCs w:val="20"/>
        </w:rPr>
      </w:pPr>
      <w:r>
        <w:rPr>
          <w:rFonts w:cs="Arial" w:ascii="Arial" w:hAnsi="Arial"/>
          <w:b/>
          <w:sz w:val="20"/>
          <w:szCs w:val="20"/>
        </w:rPr>
        <w:t>Interventi proposti dal Comune di Quartu Sant’Elena</w:t>
      </w:r>
    </w:p>
    <w:p>
      <w:pPr>
        <w:pStyle w:val="Standard"/>
        <w:spacing w:lineRule="auto" w:line="360" w:beforeAutospacing="1" w:after="120"/>
        <w:jc w:val="both"/>
        <w:rPr>
          <w:rFonts w:ascii="Arial" w:hAnsi="Arial" w:cs="Arial"/>
          <w:sz w:val="20"/>
          <w:szCs w:val="20"/>
        </w:rPr>
      </w:pPr>
      <w:r>
        <w:rPr>
          <w:rFonts w:cs="Arial" w:ascii="Arial" w:hAnsi="Arial"/>
          <w:sz w:val="20"/>
          <w:szCs w:val="20"/>
        </w:rPr>
        <w:t>Il Comune di Quartu Sant’Elena ha proposto l’installazione di una barriera antirumore che insiste nell’Area critica Quartu 1AC, che esplica gli effetti nell’area del Parco di Molentargius e in piccola parte sulla scuola della Via Turati.  Tale intervento, per quanto efficace nella riduzione del rumore verso i recettori individuati, non risulta avere effetti nei confronti della popolazione esposta nella stessa area in quanto la stessa si trova sull’altro lato della carreggiata e di conseguenza non beneficia degli effetti della barriera acustica.</w:t>
      </w:r>
    </w:p>
    <w:p>
      <w:pPr>
        <w:pStyle w:val="Standard"/>
        <w:spacing w:lineRule="auto" w:line="360" w:beforeAutospacing="1" w:after="120"/>
        <w:jc w:val="both"/>
        <w:rPr>
          <w:rFonts w:ascii="Arial" w:hAnsi="Arial" w:cs="Arial"/>
          <w:sz w:val="20"/>
          <w:szCs w:val="20"/>
        </w:rPr>
      </w:pPr>
      <w:r>
        <w:rPr>
          <w:rFonts w:cs="Arial" w:ascii="Arial" w:hAnsi="Arial"/>
          <w:sz w:val="20"/>
          <w:szCs w:val="20"/>
        </w:rPr>
        <w:t>Si evidenzia comunque nella tabella seguente l’efficacia della riduzione dell’esposizione della popolazione esposta a seguito di interventi di riduzione della velocità con installazione di dossi, già previsti nella pianificazione Comunale e già installati.</w:t>
      </w:r>
    </w:p>
    <w:p>
      <w:pPr>
        <w:pStyle w:val="Standard"/>
        <w:rPr>
          <w:rFonts w:ascii="Arial" w:hAnsi="Arial" w:cs="Arial"/>
          <w:b/>
          <w:sz w:val="20"/>
          <w:szCs w:val="20"/>
        </w:rPr>
      </w:pPr>
      <w:r>
        <w:rPr>
          <w:rFonts w:cs="Arial" w:ascii="Arial" w:hAnsi="Arial"/>
          <w:b/>
          <w:sz w:val="20"/>
          <w:szCs w:val="20"/>
        </w:rPr>
        <w:t>LDEN</w:t>
      </w:r>
    </w:p>
    <w:tbl>
      <w:tblPr>
        <w:tblStyle w:val="Tabellagriglia5scura-colore6"/>
        <w:tblW w:w="10317" w:type="dxa"/>
        <w:jc w:val="left"/>
        <w:tblInd w:w="-5" w:type="dxa"/>
        <w:shd w:fill="E2EFD9" w:val="clear"/>
        <w:tblLayout w:type="fixed"/>
        <w:tblCellMar>
          <w:top w:w="0" w:type="dxa"/>
          <w:left w:w="108" w:type="dxa"/>
          <w:bottom w:w="0" w:type="dxa"/>
          <w:right w:w="108" w:type="dxa"/>
        </w:tblCellMar>
        <w:tblLook w:firstRow="1" w:noVBand="1" w:lastRow="0" w:firstColumn="1" w:lastColumn="0" w:noHBand="0" w:val="04a0"/>
      </w:tblPr>
      <w:tblGrid>
        <w:gridCol w:w="1132"/>
        <w:gridCol w:w="1135"/>
        <w:gridCol w:w="710"/>
        <w:gridCol w:w="1134"/>
        <w:gridCol w:w="991"/>
        <w:gridCol w:w="1134"/>
        <w:gridCol w:w="850"/>
        <w:gridCol w:w="1134"/>
        <w:gridCol w:w="1136"/>
        <w:gridCol w:w="960"/>
      </w:tblGrid>
      <w:tr>
        <w:trPr>
          <w:trHeight w:val="953" w:hRule="atLeast"/>
          <w:cnfStyle w:val="100000000000" w:firstRow="1" w:lastRow="0" w:firstColumn="0" w:lastColumn="0" w:oddVBand="0" w:evenVBand="0" w:oddHBand="0" w:evenHBand="0" w:firstRowFirstColumn="0" w:firstRowLastColumn="0" w:lastRowFirstColumn="0" w:lastRowLastColumn="0"/>
        </w:trPr>
        <w:tc>
          <w:tcPr>
            <w:tcW w:w="1132" w:type="dxa"/>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Denominazione</w:t>
            </w:r>
          </w:p>
        </w:tc>
        <w:tc>
          <w:tcPr>
            <w:tcW w:w="1135"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Rischio pre interventi</w:t>
            </w:r>
          </w:p>
        </w:tc>
        <w:tc>
          <w:tcPr>
            <w:tcW w:w="710"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LIMITI LDEN</w:t>
            </w:r>
          </w:p>
        </w:tc>
        <w:tc>
          <w:tcPr>
            <w:tcW w:w="1134"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Popolazione esposta pre interventi</w:t>
            </w:r>
          </w:p>
        </w:tc>
        <w:tc>
          <w:tcPr>
            <w:tcW w:w="991"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Lden dB(A) pre interventi</w:t>
            </w:r>
          </w:p>
        </w:tc>
        <w:tc>
          <w:tcPr>
            <w:tcW w:w="1134"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Indice_Criticità pre interventi</w:t>
            </w:r>
          </w:p>
        </w:tc>
        <w:tc>
          <w:tcPr>
            <w:tcW w:w="850"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Popolazione post interventi</w:t>
            </w:r>
          </w:p>
        </w:tc>
        <w:tc>
          <w:tcPr>
            <w:tcW w:w="1134"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Lden dB(A) post interventi</w:t>
            </w:r>
          </w:p>
        </w:tc>
        <w:tc>
          <w:tcPr>
            <w:tcW w:w="1136"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Indice_Criticità post interventi</w:t>
            </w:r>
          </w:p>
        </w:tc>
        <w:tc>
          <w:tcPr>
            <w:tcW w:w="960" w:type="dxa"/>
            <w:tcBorders>
              <w:top w:val="single" w:sz="4" w:space="0" w:color="000000"/>
              <w:left w:val="nil"/>
              <w:bottom w:val="nil"/>
              <w:right w:val="single" w:sz="4" w:space="0" w:color="000000"/>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Rischio post interventi</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32"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QUARTU1 AC</w:t>
            </w:r>
          </w:p>
        </w:tc>
        <w:tc>
          <w:tcPr>
            <w:tcW w:w="1135"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ALTO</w:t>
            </w:r>
          </w:p>
        </w:tc>
        <w:tc>
          <w:tcPr>
            <w:tcW w:w="71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60</w:t>
            </w:r>
          </w:p>
        </w:tc>
        <w:tc>
          <w:tcPr>
            <w:tcW w:w="113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3065</w:t>
            </w:r>
          </w:p>
        </w:tc>
        <w:tc>
          <w:tcPr>
            <w:tcW w:w="99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76</w:t>
            </w:r>
          </w:p>
        </w:tc>
        <w:tc>
          <w:tcPr>
            <w:tcW w:w="113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41003</w:t>
            </w:r>
          </w:p>
        </w:tc>
        <w:tc>
          <w:tcPr>
            <w:tcW w:w="85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113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59,93</w:t>
            </w:r>
          </w:p>
        </w:tc>
        <w:tc>
          <w:tcPr>
            <w:tcW w:w="1136"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96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NULLO</w:t>
            </w:r>
          </w:p>
        </w:tc>
      </w:tr>
      <w:tr>
        <w:trPr>
          <w:trHeight w:val="300" w:hRule="atLeast"/>
        </w:trPr>
        <w:tc>
          <w:tcPr>
            <w:tcW w:w="1132"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QUARTU2 AC</w:t>
            </w:r>
          </w:p>
        </w:tc>
        <w:tc>
          <w:tcPr>
            <w:tcW w:w="1135"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MEDIO</w:t>
            </w:r>
          </w:p>
        </w:tc>
        <w:tc>
          <w:tcPr>
            <w:tcW w:w="71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55-60</w:t>
            </w:r>
          </w:p>
        </w:tc>
        <w:tc>
          <w:tcPr>
            <w:tcW w:w="113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1422</w:t>
            </w:r>
          </w:p>
        </w:tc>
        <w:tc>
          <w:tcPr>
            <w:tcW w:w="99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77</w:t>
            </w:r>
          </w:p>
        </w:tc>
        <w:tc>
          <w:tcPr>
            <w:tcW w:w="113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19842</w:t>
            </w:r>
          </w:p>
        </w:tc>
        <w:tc>
          <w:tcPr>
            <w:tcW w:w="85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113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52,43</w:t>
            </w:r>
          </w:p>
        </w:tc>
        <w:tc>
          <w:tcPr>
            <w:tcW w:w="1136"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96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NULLO</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32" w:type="dxa"/>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QUARTU3 AC</w:t>
            </w:r>
          </w:p>
        </w:tc>
        <w:tc>
          <w:tcPr>
            <w:tcW w:w="1135"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ALTO</w:t>
            </w:r>
          </w:p>
        </w:tc>
        <w:tc>
          <w:tcPr>
            <w:tcW w:w="71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55-65</w:t>
            </w:r>
          </w:p>
        </w:tc>
        <w:tc>
          <w:tcPr>
            <w:tcW w:w="113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4868</w:t>
            </w:r>
          </w:p>
        </w:tc>
        <w:tc>
          <w:tcPr>
            <w:tcW w:w="99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76</w:t>
            </w:r>
          </w:p>
        </w:tc>
        <w:tc>
          <w:tcPr>
            <w:tcW w:w="113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52466</w:t>
            </w:r>
          </w:p>
        </w:tc>
        <w:tc>
          <w:tcPr>
            <w:tcW w:w="85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113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56,38</w:t>
            </w:r>
          </w:p>
        </w:tc>
        <w:tc>
          <w:tcPr>
            <w:tcW w:w="1136"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0</w:t>
            </w:r>
          </w:p>
        </w:tc>
        <w:tc>
          <w:tcPr>
            <w:tcW w:w="96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eastAsia="Times New Roman" w:cs="Arial"/>
                <w:color w:val="000000"/>
                <w:kern w:val="0"/>
                <w:sz w:val="14"/>
                <w:szCs w:val="16"/>
                <w:lang w:eastAsia="it-IT" w:bidi="ar-SA"/>
              </w:rPr>
            </w:pPr>
            <w:r>
              <w:rPr>
                <w:rFonts w:eastAsia="Times New Roman" w:cs="Arial" w:ascii="Arial" w:hAnsi="Arial"/>
                <w:color w:val="000000"/>
                <w:kern w:val="0"/>
                <w:sz w:val="14"/>
                <w:szCs w:val="16"/>
                <w:lang w:val="it-IT" w:eastAsia="it-IT" w:bidi="ar-SA"/>
              </w:rPr>
              <w:t>NULLO</w:t>
            </w:r>
          </w:p>
        </w:tc>
      </w:tr>
      <w:tr>
        <w:trPr>
          <w:trHeight w:val="300" w:hRule="atLeast"/>
        </w:trPr>
        <w:tc>
          <w:tcPr>
            <w:tcW w:w="2977" w:type="dxa"/>
            <w:gridSpan w:val="3"/>
            <w:cnfStyle w:val="001000000000" w:firstRow="0" w:lastRow="0" w:firstColumn="1" w:lastColumn="0" w:oddVBand="0" w:evenVBand="0" w:oddHBand="0" w:evenHBand="0" w:firstRowFirstColumn="0" w:firstRowLastColumn="0" w:lastRowFirstColumn="0" w:lastRowLastColumn="0"/>
            <w:tcBorders>
              <w:left w:val="single" w:sz="4" w:space="0" w:color="000000"/>
              <w:bottom w:val="single" w:sz="4" w:space="0" w:color="000000"/>
              <w:right w:val="nil"/>
            </w:tcBorders>
            <w:shd w:color="auto" w:fill="70AD47" w:themeFill="accent6" w:val="clear"/>
            <w:vAlign w:val="center"/>
          </w:tcPr>
          <w:p>
            <w:pPr>
              <w:pStyle w:val="Normal"/>
              <w:widowControl/>
              <w:suppressAutoHyphens w:val="false"/>
              <w:spacing w:before="0" w:after="0"/>
              <w:jc w:val="center"/>
              <w:textAlignment w:val="auto"/>
              <w:rPr>
                <w:rFonts w:ascii="Arial" w:hAnsi="Arial" w:eastAsia="Times New Roman" w:cs="Arial"/>
                <w:color w:val="000000"/>
                <w:kern w:val="0"/>
                <w:sz w:val="14"/>
                <w:szCs w:val="16"/>
                <w:lang w:eastAsia="it-IT" w:bidi="ar-SA"/>
              </w:rPr>
            </w:pPr>
            <w:r>
              <w:rPr>
                <w:rFonts w:eastAsia="Times New Roman" w:cs="Arial" w:ascii="Arial" w:hAnsi="Arial"/>
                <w:b/>
                <w:bCs/>
                <w:color w:val="000000"/>
                <w:kern w:val="0"/>
                <w:sz w:val="14"/>
                <w:szCs w:val="16"/>
                <w:lang w:val="it-IT" w:eastAsia="it-IT" w:bidi="ar-SA"/>
              </w:rPr>
              <w:t>TOTALE</w:t>
            </w:r>
          </w:p>
        </w:tc>
        <w:tc>
          <w:tcPr>
            <w:tcW w:w="113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val="it-IT" w:eastAsia="it-IT" w:bidi="ar-SA"/>
              </w:rPr>
              <w:t>9355</w:t>
            </w:r>
          </w:p>
        </w:tc>
        <w:tc>
          <w:tcPr>
            <w:tcW w:w="99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eastAsia="it-IT" w:bidi="ar-SA"/>
              </w:rPr>
            </w:r>
          </w:p>
        </w:tc>
        <w:tc>
          <w:tcPr>
            <w:tcW w:w="113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b/>
                <w:kern w:val="0"/>
                <w:sz w:val="14"/>
                <w:szCs w:val="16"/>
                <w:lang w:eastAsia="it-IT" w:bidi="ar-SA"/>
              </w:rPr>
            </w:pPr>
            <w:r>
              <w:rPr>
                <w:rFonts w:eastAsia="Times New Roman" w:cs="Arial" w:ascii="Arial" w:hAnsi="Arial"/>
                <w:b/>
                <w:kern w:val="0"/>
                <w:sz w:val="14"/>
                <w:szCs w:val="16"/>
                <w:lang w:eastAsia="it-IT" w:bidi="ar-SA"/>
              </w:rPr>
            </w:r>
          </w:p>
        </w:tc>
        <w:tc>
          <w:tcPr>
            <w:tcW w:w="85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eastAsia="Times New Roman" w:cs="Arial"/>
                <w:b/>
                <w:color w:val="000000"/>
                <w:kern w:val="0"/>
                <w:sz w:val="14"/>
                <w:szCs w:val="16"/>
                <w:lang w:eastAsia="it-IT" w:bidi="ar-SA"/>
              </w:rPr>
            </w:pPr>
            <w:r>
              <w:rPr>
                <w:rFonts w:eastAsia="Times New Roman" w:cs="Arial" w:ascii="Arial" w:hAnsi="Arial"/>
                <w:b/>
                <w:color w:val="000000"/>
                <w:kern w:val="0"/>
                <w:sz w:val="14"/>
                <w:szCs w:val="16"/>
                <w:lang w:val="it-IT" w:eastAsia="it-IT" w:bidi="ar-SA"/>
              </w:rPr>
              <w:t>0</w:t>
            </w:r>
          </w:p>
        </w:tc>
        <w:tc>
          <w:tcPr>
            <w:tcW w:w="1134" w:type="dxa"/>
            <w:tcBorders>
              <w:top w:val="nil"/>
              <w:left w:val="nil"/>
              <w:bottom w:val="nil"/>
              <w:right w:val="nil"/>
            </w:tcBorders>
            <w:shd w:color="auto" w:fill="E2EFD9" w:themeFill="accent6" w:themeFillTint="33"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c>
          <w:tcPr>
            <w:tcW w:w="1136" w:type="dxa"/>
            <w:tcBorders>
              <w:top w:val="nil"/>
              <w:left w:val="nil"/>
              <w:bottom w:val="nil"/>
              <w:right w:val="nil"/>
            </w:tcBorders>
            <w:shd w:color="auto" w:fill="E2EFD9" w:themeFill="accent6" w:themeFillTint="33"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c>
          <w:tcPr>
            <w:tcW w:w="960" w:type="dxa"/>
            <w:tcBorders>
              <w:top w:val="nil"/>
              <w:left w:val="nil"/>
              <w:bottom w:val="nil"/>
              <w:right w:val="nil"/>
            </w:tcBorders>
            <w:shd w:color="auto" w:fill="E2EFD9" w:themeFill="accent6" w:themeFillTint="33"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r>
    </w:tbl>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t>LNIGHT</w:t>
      </w:r>
    </w:p>
    <w:tbl>
      <w:tblPr>
        <w:tblStyle w:val="Tabellagriglia5scura-colore6"/>
        <w:tblW w:w="10429" w:type="dxa"/>
        <w:jc w:val="left"/>
        <w:tblInd w:w="-5" w:type="dxa"/>
        <w:shd w:fill="E2EFD9" w:val="clear"/>
        <w:tblLayout w:type="fixed"/>
        <w:tblCellMar>
          <w:top w:w="0" w:type="dxa"/>
          <w:left w:w="108" w:type="dxa"/>
          <w:bottom w:w="0" w:type="dxa"/>
          <w:right w:w="108" w:type="dxa"/>
        </w:tblCellMar>
        <w:tblLook w:firstRow="1" w:noVBand="1" w:lastRow="0" w:firstColumn="1" w:lastColumn="0" w:noHBand="0" w:val="04a0"/>
      </w:tblPr>
      <w:tblGrid>
        <w:gridCol w:w="1108"/>
        <w:gridCol w:w="1040"/>
        <w:gridCol w:w="943"/>
        <w:gridCol w:w="939"/>
        <w:gridCol w:w="1059"/>
        <w:gridCol w:w="1114"/>
        <w:gridCol w:w="941"/>
        <w:gridCol w:w="1060"/>
        <w:gridCol w:w="1166"/>
        <w:gridCol w:w="1058"/>
      </w:tblGrid>
      <w:tr>
        <w:trPr>
          <w:trHeight w:val="300" w:hRule="atLeast"/>
          <w:cnfStyle w:val="100000000000" w:firstRow="1" w:lastRow="0" w:firstColumn="0" w:lastColumn="0" w:oddVBand="0" w:evenVBand="0" w:oddHBand="0" w:evenHBand="0" w:firstRowFirstColumn="0" w:firstRowLastColumn="0" w:lastRowFirstColumn="0" w:lastRowLastColumn="0"/>
        </w:trPr>
        <w:tc>
          <w:tcPr>
            <w:tcW w:w="1108" w:type="dxa"/>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Denominazione</w:t>
            </w:r>
          </w:p>
        </w:tc>
        <w:tc>
          <w:tcPr>
            <w:tcW w:w="1040"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CRITICITA'</w:t>
            </w:r>
          </w:p>
        </w:tc>
        <w:tc>
          <w:tcPr>
            <w:tcW w:w="943"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LIMITI_N dB(A)</w:t>
            </w:r>
          </w:p>
        </w:tc>
        <w:tc>
          <w:tcPr>
            <w:tcW w:w="939"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Popolazione</w:t>
            </w:r>
          </w:p>
        </w:tc>
        <w:tc>
          <w:tcPr>
            <w:tcW w:w="1059"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LAEQ_NIGHT dB(A)</w:t>
            </w:r>
          </w:p>
        </w:tc>
        <w:tc>
          <w:tcPr>
            <w:tcW w:w="1114"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Indice criticità</w:t>
            </w:r>
          </w:p>
        </w:tc>
        <w:tc>
          <w:tcPr>
            <w:tcW w:w="941"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Popolazione</w:t>
            </w:r>
          </w:p>
        </w:tc>
        <w:tc>
          <w:tcPr>
            <w:tcW w:w="1060"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LAEQ_NIGHT dB(A)</w:t>
            </w:r>
          </w:p>
        </w:tc>
        <w:tc>
          <w:tcPr>
            <w:tcW w:w="1166" w:type="dxa"/>
            <w:tcBorders>
              <w:top w:val="single" w:sz="4" w:space="0" w:color="000000"/>
              <w:left w:val="nil"/>
              <w:bottom w:val="nil"/>
              <w:right w:val="nil"/>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Indice criticità</w:t>
            </w:r>
          </w:p>
        </w:tc>
        <w:tc>
          <w:tcPr>
            <w:tcW w:w="1058" w:type="dxa"/>
            <w:tcBorders>
              <w:top w:val="single" w:sz="4" w:space="0" w:color="000000"/>
              <w:left w:val="nil"/>
              <w:bottom w:val="nil"/>
              <w:right w:val="single" w:sz="4" w:space="0" w:color="000000"/>
            </w:tcBorders>
            <w:shd w:color="auto" w:fill="70AD47" w:themeFill="accent6" w:val="clea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CRITICITA'</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08"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QUARTU1 ACN</w:t>
            </w:r>
          </w:p>
        </w:tc>
        <w:tc>
          <w:tcPr>
            <w:tcW w:w="104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ALTA</w:t>
            </w:r>
          </w:p>
        </w:tc>
        <w:tc>
          <w:tcPr>
            <w:tcW w:w="94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50</w:t>
            </w:r>
          </w:p>
        </w:tc>
        <w:tc>
          <w:tcPr>
            <w:tcW w:w="93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2947</w:t>
            </w:r>
          </w:p>
        </w:tc>
        <w:tc>
          <w:tcPr>
            <w:tcW w:w="105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66</w:t>
            </w:r>
          </w:p>
        </w:tc>
        <w:tc>
          <w:tcPr>
            <w:tcW w:w="111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39682</w:t>
            </w:r>
          </w:p>
        </w:tc>
        <w:tc>
          <w:tcPr>
            <w:tcW w:w="94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2947</w:t>
            </w:r>
          </w:p>
        </w:tc>
        <w:tc>
          <w:tcPr>
            <w:tcW w:w="106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51,6</w:t>
            </w:r>
          </w:p>
        </w:tc>
        <w:tc>
          <w:tcPr>
            <w:tcW w:w="1166"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4715,2</w:t>
            </w:r>
          </w:p>
        </w:tc>
        <w:tc>
          <w:tcPr>
            <w:tcW w:w="105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BASSA</w:t>
            </w:r>
          </w:p>
        </w:tc>
      </w:tr>
      <w:tr>
        <w:trPr>
          <w:trHeight w:val="300" w:hRule="atLeast"/>
        </w:trPr>
        <w:tc>
          <w:tcPr>
            <w:tcW w:w="1108"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QUARTU2 ACN</w:t>
            </w:r>
          </w:p>
        </w:tc>
        <w:tc>
          <w:tcPr>
            <w:tcW w:w="104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ALTA</w:t>
            </w:r>
          </w:p>
        </w:tc>
        <w:tc>
          <w:tcPr>
            <w:tcW w:w="94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50</w:t>
            </w:r>
          </w:p>
        </w:tc>
        <w:tc>
          <w:tcPr>
            <w:tcW w:w="93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1473</w:t>
            </w:r>
          </w:p>
        </w:tc>
        <w:tc>
          <w:tcPr>
            <w:tcW w:w="105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67</w:t>
            </w:r>
          </w:p>
        </w:tc>
        <w:tc>
          <w:tcPr>
            <w:tcW w:w="111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20426</w:t>
            </w:r>
          </w:p>
        </w:tc>
        <w:tc>
          <w:tcPr>
            <w:tcW w:w="94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1473</w:t>
            </w:r>
          </w:p>
        </w:tc>
        <w:tc>
          <w:tcPr>
            <w:tcW w:w="106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52,1</w:t>
            </w:r>
          </w:p>
        </w:tc>
        <w:tc>
          <w:tcPr>
            <w:tcW w:w="1166"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3093,3</w:t>
            </w:r>
          </w:p>
        </w:tc>
        <w:tc>
          <w:tcPr>
            <w:tcW w:w="1058"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BASSA</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1108"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QUARTU3 ACN</w:t>
            </w:r>
          </w:p>
        </w:tc>
        <w:tc>
          <w:tcPr>
            <w:tcW w:w="104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ALTA</w:t>
            </w:r>
          </w:p>
        </w:tc>
        <w:tc>
          <w:tcPr>
            <w:tcW w:w="943"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50</w:t>
            </w:r>
          </w:p>
        </w:tc>
        <w:tc>
          <w:tcPr>
            <w:tcW w:w="93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5173</w:t>
            </w:r>
          </w:p>
        </w:tc>
        <w:tc>
          <w:tcPr>
            <w:tcW w:w="105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67</w:t>
            </w:r>
          </w:p>
        </w:tc>
        <w:tc>
          <w:tcPr>
            <w:tcW w:w="1114"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59056</w:t>
            </w:r>
          </w:p>
        </w:tc>
        <w:tc>
          <w:tcPr>
            <w:tcW w:w="941"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5173</w:t>
            </w:r>
          </w:p>
        </w:tc>
        <w:tc>
          <w:tcPr>
            <w:tcW w:w="106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52,2</w:t>
            </w:r>
          </w:p>
        </w:tc>
        <w:tc>
          <w:tcPr>
            <w:tcW w:w="1166"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11380,6</w:t>
            </w:r>
          </w:p>
        </w:tc>
        <w:tc>
          <w:tcPr>
            <w:tcW w:w="1058"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BASSA</w:t>
            </w:r>
          </w:p>
        </w:tc>
      </w:tr>
      <w:tr>
        <w:trPr>
          <w:trHeight w:val="300" w:hRule="atLeast"/>
        </w:trPr>
        <w:tc>
          <w:tcPr>
            <w:tcW w:w="1108"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16"/>
                <w:szCs w:val="22"/>
                <w:lang w:eastAsia="it-IT" w:bidi="ar-SA"/>
              </w:rPr>
            </w:pPr>
            <w:r>
              <w:rPr>
                <w:rFonts w:eastAsia="Times New Roman" w:cs="Calibri" w:ascii="Calibri" w:hAnsi="Calibri"/>
                <w:b/>
                <w:bCs/>
                <w:color w:val="000000"/>
                <w:kern w:val="0"/>
                <w:sz w:val="16"/>
                <w:szCs w:val="22"/>
                <w:lang w:val="it-IT" w:eastAsia="it-IT" w:bidi="ar-SA"/>
              </w:rPr>
              <w:t>TOTALE</w:t>
            </w:r>
          </w:p>
        </w:tc>
        <w:tc>
          <w:tcPr>
            <w:tcW w:w="104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eastAsia="it-IT" w:bidi="ar-SA"/>
              </w:rPr>
            </w:r>
          </w:p>
        </w:tc>
        <w:tc>
          <w:tcPr>
            <w:tcW w:w="94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cs="Times New Roman"/>
                <w:kern w:val="0"/>
                <w:sz w:val="16"/>
                <w:szCs w:val="20"/>
                <w:lang w:eastAsia="it-IT" w:bidi="ar-SA"/>
              </w:rPr>
            </w:pPr>
            <w:r>
              <w:rPr>
                <w:rFonts w:eastAsia="Times New Roman" w:cs="Times New Roman"/>
                <w:kern w:val="0"/>
                <w:sz w:val="16"/>
                <w:szCs w:val="20"/>
                <w:lang w:eastAsia="it-IT" w:bidi="ar-SA"/>
              </w:rPr>
            </w:r>
          </w:p>
        </w:tc>
        <w:tc>
          <w:tcPr>
            <w:tcW w:w="93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9593</w:t>
            </w:r>
          </w:p>
        </w:tc>
        <w:tc>
          <w:tcPr>
            <w:tcW w:w="105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eastAsia="it-IT" w:bidi="ar-SA"/>
              </w:rPr>
            </w:r>
          </w:p>
        </w:tc>
        <w:tc>
          <w:tcPr>
            <w:tcW w:w="111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cs="Times New Roman"/>
                <w:kern w:val="0"/>
                <w:sz w:val="16"/>
                <w:szCs w:val="20"/>
                <w:lang w:eastAsia="it-IT" w:bidi="ar-SA"/>
              </w:rPr>
            </w:pPr>
            <w:r>
              <w:rPr>
                <w:rFonts w:eastAsia="Times New Roman" w:cs="Times New Roman"/>
                <w:kern w:val="0"/>
                <w:sz w:val="16"/>
                <w:szCs w:val="20"/>
                <w:lang w:eastAsia="it-IT" w:bidi="ar-SA"/>
              </w:rPr>
            </w:r>
          </w:p>
        </w:tc>
        <w:tc>
          <w:tcPr>
            <w:tcW w:w="94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16"/>
                <w:szCs w:val="22"/>
                <w:lang w:eastAsia="it-IT" w:bidi="ar-SA"/>
              </w:rPr>
            </w:pPr>
            <w:r>
              <w:rPr>
                <w:rFonts w:eastAsia="Times New Roman" w:cs="Calibri" w:ascii="Calibri" w:hAnsi="Calibri"/>
                <w:color w:val="000000"/>
                <w:kern w:val="0"/>
                <w:sz w:val="16"/>
                <w:szCs w:val="22"/>
                <w:lang w:val="it-IT" w:eastAsia="it-IT" w:bidi="ar-SA"/>
              </w:rPr>
              <w:t>9593</w:t>
            </w:r>
          </w:p>
        </w:tc>
        <w:tc>
          <w:tcPr>
            <w:tcW w:w="1060" w:type="dxa"/>
            <w:tcBorders>
              <w:top w:val="nil"/>
              <w:left w:val="nil"/>
              <w:bottom w:val="nil"/>
              <w:right w:val="nil"/>
            </w:tcBorders>
            <w:shd w:color="auto" w:fill="E2EFD9" w:themeFill="accent6" w:themeFillTint="33"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c>
          <w:tcPr>
            <w:tcW w:w="1166" w:type="dxa"/>
            <w:tcBorders>
              <w:top w:val="nil"/>
              <w:left w:val="nil"/>
              <w:bottom w:val="nil"/>
              <w:right w:val="nil"/>
            </w:tcBorders>
            <w:shd w:color="auto" w:fill="E2EFD9" w:themeFill="accent6" w:themeFillTint="33"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c>
          <w:tcPr>
            <w:tcW w:w="1058" w:type="dxa"/>
            <w:tcBorders>
              <w:top w:val="nil"/>
              <w:left w:val="nil"/>
              <w:bottom w:val="nil"/>
              <w:right w:val="nil"/>
            </w:tcBorders>
            <w:shd w:color="auto" w:fill="E2EFD9" w:themeFill="accent6" w:themeFillTint="33" w:val="clear"/>
          </w:tcPr>
          <w:p>
            <w:pPr>
              <w:pStyle w:val="Normal"/>
              <w:widowControl w:val="false"/>
              <w:suppressAutoHyphens w:val="true"/>
              <w:spacing w:before="0" w:after="0"/>
              <w:jc w:val="left"/>
              <w:textAlignment w:val="baseline"/>
              <w:rPr>
                <w:rFonts w:ascii="Times New Roman" w:hAnsi="Times New Roman" w:eastAsia="SimSun" w:cs="Mangal"/>
                <w:kern w:val="2"/>
                <w:sz w:val="24"/>
                <w:szCs w:val="24"/>
                <w:lang w:val="it-IT" w:eastAsia="zh-CN" w:bidi="hi-IN"/>
              </w:rPr>
            </w:pPr>
            <w:r>
              <w:rPr>
                <w:rFonts w:eastAsia="SimSun" w:cs="Mangal"/>
                <w:kern w:val="2"/>
                <w:sz w:val="24"/>
                <w:szCs w:val="24"/>
                <w:lang w:val="it-IT" w:eastAsia="zh-CN" w:bidi="hi-IN"/>
              </w:rPr>
            </w:r>
          </w:p>
        </w:tc>
      </w:tr>
    </w:tbl>
    <w:p>
      <w:pPr>
        <w:pStyle w:val="Standard"/>
        <w:rPr>
          <w:rFonts w:ascii="Arial" w:hAnsi="Arial" w:cs="Arial"/>
          <w:sz w:val="20"/>
          <w:szCs w:val="20"/>
        </w:rPr>
      </w:pPr>
      <w:r>
        <w:rPr>
          <w:rFonts w:cs="Arial" w:ascii="Arial" w:hAnsi="Arial"/>
          <w:sz w:val="20"/>
          <w:szCs w:val="20"/>
        </w:rPr>
      </w:r>
    </w:p>
    <w:p>
      <w:pPr>
        <w:pStyle w:val="Standard"/>
        <w:spacing w:lineRule="auto" w:line="360"/>
        <w:jc w:val="both"/>
        <w:rPr>
          <w:rFonts w:ascii="Arial" w:hAnsi="Arial" w:cs="Arial"/>
          <w:b/>
          <w:sz w:val="20"/>
          <w:szCs w:val="20"/>
        </w:rPr>
      </w:pPr>
      <w:r>
        <w:rPr>
          <w:rFonts w:cs="Arial" w:ascii="Arial" w:hAnsi="Arial"/>
          <w:b/>
          <w:sz w:val="20"/>
          <w:szCs w:val="20"/>
        </w:rPr>
        <w:t>Interventi del Comune di Cagliari</w:t>
      </w:r>
    </w:p>
    <w:p>
      <w:pPr>
        <w:pStyle w:val="Standard"/>
        <w:spacing w:lineRule="auto" w:line="360"/>
        <w:jc w:val="both"/>
        <w:rPr>
          <w:rFonts w:ascii="Arial" w:hAnsi="Arial" w:cs="Arial"/>
          <w:sz w:val="20"/>
          <w:szCs w:val="20"/>
        </w:rPr>
      </w:pPr>
      <w:r>
        <w:rPr>
          <w:rFonts w:cs="Arial" w:ascii="Arial" w:hAnsi="Arial"/>
          <w:sz w:val="20"/>
          <w:szCs w:val="20"/>
        </w:rPr>
        <w:t>Gli interventi proposti dal Comune di Cagliari sono articolati in termini di LDEN e LNIGHT in relazione alle singole vie che insistono nelle aree critiche.</w:t>
      </w:r>
    </w:p>
    <w:p>
      <w:pPr>
        <w:sectPr>
          <w:headerReference w:type="first" r:id="rId25"/>
          <w:footerReference w:type="default" r:id="rId26"/>
          <w:footerReference w:type="first" r:id="rId27"/>
          <w:type w:val="nextPage"/>
          <w:pgSz w:w="11906" w:h="16838"/>
          <w:pgMar w:left="1134" w:right="1134" w:gutter="0" w:header="708" w:top="1417" w:footer="708" w:bottom="1134"/>
          <w:pgNumType w:fmt="decimal"/>
          <w:formProt w:val="false"/>
          <w:titlePg/>
          <w:textDirection w:val="lrTb"/>
          <w:docGrid w:type="default" w:linePitch="100" w:charSpace="0"/>
        </w:sectPr>
        <w:pStyle w:val="Standard"/>
        <w:spacing w:lineRule="auto" w:line="360"/>
        <w:jc w:val="both"/>
        <w:rPr>
          <w:rFonts w:ascii="Arial" w:hAnsi="Arial" w:cs="Arial"/>
          <w:sz w:val="20"/>
          <w:szCs w:val="20"/>
        </w:rPr>
      </w:pPr>
      <w:r>
        <w:rPr>
          <w:rFonts w:cs="Arial" w:ascii="Arial" w:hAnsi="Arial"/>
          <w:sz w:val="20"/>
          <w:szCs w:val="20"/>
        </w:rPr>
        <w:t>Le tabelle seguenti riportano l’efficacia degli interventi proposti</w:t>
      </w:r>
    </w:p>
    <w:p>
      <w:pPr>
        <w:pStyle w:val="Standard"/>
        <w:rPr>
          <w:rFonts w:ascii="Arial" w:hAnsi="Arial" w:cs="Arial"/>
          <w:sz w:val="20"/>
          <w:szCs w:val="20"/>
        </w:rPr>
      </w:pPr>
      <w:r>
        <w:rPr>
          <w:rFonts w:cs="Arial" w:ascii="Arial" w:hAnsi="Arial"/>
          <w:sz w:val="20"/>
          <w:szCs w:val="20"/>
        </w:rPr>
        <w:t>LDEN</w:t>
      </w:r>
    </w:p>
    <w:p>
      <w:pPr>
        <w:pStyle w:val="Standard"/>
        <w:rPr>
          <w:rFonts w:ascii="Arial" w:hAnsi="Arial" w:cs="Arial"/>
          <w:sz w:val="20"/>
          <w:szCs w:val="20"/>
        </w:rPr>
      </w:pPr>
      <w:r>
        <w:rPr>
          <w:rFonts w:cs="Arial" w:ascii="Arial" w:hAnsi="Arial"/>
          <w:sz w:val="20"/>
          <w:szCs w:val="20"/>
        </w:rPr>
      </w:r>
    </w:p>
    <w:tbl>
      <w:tblPr>
        <w:tblW w:w="13892" w:type="dxa"/>
        <w:jc w:val="left"/>
        <w:tblInd w:w="-5" w:type="dxa"/>
        <w:tblLayout w:type="fixed"/>
        <w:tblCellMar>
          <w:top w:w="0" w:type="dxa"/>
          <w:left w:w="70" w:type="dxa"/>
          <w:bottom w:w="0" w:type="dxa"/>
          <w:right w:w="70" w:type="dxa"/>
        </w:tblCellMar>
        <w:tblLook w:firstRow="1" w:noVBand="1" w:lastRow="0" w:firstColumn="1" w:lastColumn="0" w:noHBand="0" w:val="04a0"/>
      </w:tblPr>
      <w:tblGrid>
        <w:gridCol w:w="2835"/>
        <w:gridCol w:w="850"/>
        <w:gridCol w:w="1277"/>
        <w:gridCol w:w="993"/>
        <w:gridCol w:w="849"/>
        <w:gridCol w:w="1133"/>
        <w:gridCol w:w="1135"/>
        <w:gridCol w:w="852"/>
        <w:gridCol w:w="1134"/>
        <w:gridCol w:w="991"/>
        <w:gridCol w:w="1841"/>
      </w:tblGrid>
      <w:tr>
        <w:trPr>
          <w:tblHeader w:val="true"/>
          <w:trHeight w:val="900" w:hRule="atLeast"/>
          <w:cantSplit w:val="true"/>
        </w:trPr>
        <w:tc>
          <w:tcPr>
            <w:tcW w:w="283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111094"/>
                <w:kern w:val="0"/>
                <w:sz w:val="14"/>
                <w:szCs w:val="20"/>
                <w:lang w:eastAsia="it-IT" w:bidi="ar-SA"/>
              </w:rPr>
            </w:pPr>
            <w:r>
              <w:rPr>
                <w:rFonts w:eastAsia="Times New Roman" w:cs="Arial" w:ascii="Arial" w:hAnsi="Arial"/>
                <w:b/>
                <w:bCs/>
                <w:color w:val="111094"/>
                <w:kern w:val="0"/>
                <w:sz w:val="14"/>
                <w:szCs w:val="20"/>
                <w:lang w:eastAsia="it-IT" w:bidi="ar-SA"/>
              </w:rPr>
              <w:t>LDEN - GIORNO</w:t>
            </w:r>
          </w:p>
        </w:tc>
        <w:tc>
          <w:tcPr>
            <w:tcW w:w="850"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RISCHIO pre intervento</w:t>
            </w:r>
          </w:p>
        </w:tc>
        <w:tc>
          <w:tcPr>
            <w:tcW w:w="1277"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AREA Critica</w:t>
            </w:r>
          </w:p>
        </w:tc>
        <w:tc>
          <w:tcPr>
            <w:tcW w:w="993"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Popolazione esposta pre interventi</w:t>
            </w:r>
          </w:p>
        </w:tc>
        <w:tc>
          <w:tcPr>
            <w:tcW w:w="849"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Lden dB(A) pre interventi</w:t>
            </w:r>
          </w:p>
        </w:tc>
        <w:tc>
          <w:tcPr>
            <w:tcW w:w="1133"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Indice_Criticità pre interventi</w:t>
            </w:r>
          </w:p>
        </w:tc>
        <w:tc>
          <w:tcPr>
            <w:tcW w:w="1135"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Popolazione post interventi</w:t>
            </w:r>
          </w:p>
        </w:tc>
        <w:tc>
          <w:tcPr>
            <w:tcW w:w="852"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Lden dB(A) post interventi</w:t>
            </w:r>
          </w:p>
        </w:tc>
        <w:tc>
          <w:tcPr>
            <w:tcW w:w="1134"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Indice_Criticità post interventi</w:t>
            </w:r>
          </w:p>
        </w:tc>
        <w:tc>
          <w:tcPr>
            <w:tcW w:w="991"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Rischio post interventi</w:t>
            </w:r>
          </w:p>
        </w:tc>
        <w:tc>
          <w:tcPr>
            <w:tcW w:w="1841"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intervento</w:t>
            </w:r>
          </w:p>
        </w:tc>
      </w:tr>
      <w:tr>
        <w:trPr>
          <w:trHeight w:val="255" w:hRule="atLeast"/>
        </w:trPr>
        <w:tc>
          <w:tcPr>
            <w:tcW w:w="2835" w:type="dxa"/>
            <w:tcBorders>
              <w:left w:val="single" w:sz="4" w:space="0" w:color="000000"/>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CORNALIAS-GIORNO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1AC</w:t>
            </w:r>
          </w:p>
        </w:tc>
        <w:tc>
          <w:tcPr>
            <w:tcW w:w="99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2355</w:t>
            </w:r>
          </w:p>
        </w:tc>
        <w:tc>
          <w:tcPr>
            <w:tcW w:w="849"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75</w:t>
            </w:r>
          </w:p>
        </w:tc>
        <w:tc>
          <w:tcPr>
            <w:tcW w:w="113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29109</w:t>
            </w:r>
          </w:p>
        </w:tc>
        <w:tc>
          <w:tcPr>
            <w:tcW w:w="1135"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49,79</w:t>
            </w:r>
          </w:p>
        </w:tc>
        <w:tc>
          <w:tcPr>
            <w:tcW w:w="1134"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NULLO</w:t>
            </w:r>
          </w:p>
        </w:tc>
        <w:tc>
          <w:tcPr>
            <w:tcW w:w="1841" w:type="dxa"/>
            <w:tcBorders>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GHERARDO DELLE NOTTI-GIORNO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1AC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GIOTTO-GIORNO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1AC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GIUSEPPE BROTZU-GIORNO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1AC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MARIO DE MARTIS-GIORNO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1AC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PIERO DELLA FRANCESCA-GIORNO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1AC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FFFCC"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FAMAGOSTA-GIORNO</w:t>
            </w:r>
          </w:p>
        </w:tc>
        <w:tc>
          <w:tcPr>
            <w:tcW w:w="850"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2AC</w:t>
            </w:r>
          </w:p>
        </w:tc>
        <w:tc>
          <w:tcPr>
            <w:tcW w:w="993"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846</w:t>
            </w:r>
          </w:p>
        </w:tc>
        <w:tc>
          <w:tcPr>
            <w:tcW w:w="849"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77</w:t>
            </w:r>
          </w:p>
        </w:tc>
        <w:tc>
          <w:tcPr>
            <w:tcW w:w="1133"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12042</w:t>
            </w:r>
          </w:p>
        </w:tc>
        <w:tc>
          <w:tcPr>
            <w:tcW w:w="1135"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846</w:t>
            </w:r>
          </w:p>
        </w:tc>
        <w:tc>
          <w:tcPr>
            <w:tcW w:w="852"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77</w:t>
            </w:r>
          </w:p>
        </w:tc>
        <w:tc>
          <w:tcPr>
            <w:tcW w:w="1134"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12042</w:t>
            </w:r>
          </w:p>
        </w:tc>
        <w:tc>
          <w:tcPr>
            <w:tcW w:w="991"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MEDIO</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LEGNANO-GIORNO</w:t>
            </w:r>
          </w:p>
        </w:tc>
        <w:tc>
          <w:tcPr>
            <w:tcW w:w="850"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2AC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PONTIDA-GIORNO</w:t>
            </w:r>
          </w:p>
        </w:tc>
        <w:tc>
          <w:tcPr>
            <w:tcW w:w="850"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2AC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SANTA MARIA CHIARA-GIORNO</w:t>
            </w:r>
          </w:p>
        </w:tc>
        <w:tc>
          <w:tcPr>
            <w:tcW w:w="850"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2AC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EDWARD JENNER-GIORNO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3AC</w:t>
            </w:r>
          </w:p>
        </w:tc>
        <w:tc>
          <w:tcPr>
            <w:tcW w:w="993"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275</w:t>
            </w:r>
          </w:p>
        </w:tc>
        <w:tc>
          <w:tcPr>
            <w:tcW w:w="849"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75</w:t>
            </w:r>
          </w:p>
        </w:tc>
        <w:tc>
          <w:tcPr>
            <w:tcW w:w="1133"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2924</w:t>
            </w:r>
          </w:p>
        </w:tc>
        <w:tc>
          <w:tcPr>
            <w:tcW w:w="1135"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0</w:t>
            </w:r>
          </w:p>
        </w:tc>
        <w:tc>
          <w:tcPr>
            <w:tcW w:w="852"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47,41</w:t>
            </w:r>
          </w:p>
        </w:tc>
        <w:tc>
          <w:tcPr>
            <w:tcW w:w="1134"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0</w:t>
            </w:r>
          </w:p>
        </w:tc>
        <w:tc>
          <w:tcPr>
            <w:tcW w:w="991"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NULLO</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ANTONIO IGNAZIO ARGIOLAS-GIORNO</w:t>
            </w:r>
          </w:p>
        </w:tc>
        <w:tc>
          <w:tcPr>
            <w:tcW w:w="850" w:type="dxa"/>
            <w:tcBorders>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4AC</w:t>
            </w:r>
          </w:p>
        </w:tc>
        <w:tc>
          <w:tcPr>
            <w:tcW w:w="993"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750</w:t>
            </w:r>
          </w:p>
        </w:tc>
        <w:tc>
          <w:tcPr>
            <w:tcW w:w="849"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74</w:t>
            </w:r>
          </w:p>
        </w:tc>
        <w:tc>
          <w:tcPr>
            <w:tcW w:w="1133"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10527</w:t>
            </w:r>
          </w:p>
        </w:tc>
        <w:tc>
          <w:tcPr>
            <w:tcW w:w="1135"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51</w:t>
            </w:r>
          </w:p>
        </w:tc>
        <w:tc>
          <w:tcPr>
            <w:tcW w:w="1134"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NULLO</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ENRICO TOTI-GIORNO</w:t>
            </w:r>
          </w:p>
        </w:tc>
        <w:tc>
          <w:tcPr>
            <w:tcW w:w="850" w:type="dxa"/>
            <w:tcBorders>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FF2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4AC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BALDASSARRE CASTIGLIONE-GIORNO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5AC</w:t>
            </w:r>
          </w:p>
        </w:tc>
        <w:tc>
          <w:tcPr>
            <w:tcW w:w="99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1161</w:t>
            </w:r>
          </w:p>
        </w:tc>
        <w:tc>
          <w:tcPr>
            <w:tcW w:w="849"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79</w:t>
            </w:r>
          </w:p>
        </w:tc>
        <w:tc>
          <w:tcPr>
            <w:tcW w:w="113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13315</w:t>
            </w:r>
          </w:p>
        </w:tc>
        <w:tc>
          <w:tcPr>
            <w:tcW w:w="1135"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59,46</w:t>
            </w:r>
          </w:p>
        </w:tc>
        <w:tc>
          <w:tcPr>
            <w:tcW w:w="1134"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NULLO</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FLAVIO GIOIA-GIORNO</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CAGLIARI 5AC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PIAZZA GIOVANNI XXIII-GIORNO</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1982</w:t>
            </w:r>
          </w:p>
        </w:tc>
        <w:tc>
          <w:tcPr>
            <w:tcW w:w="849"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76</w:t>
            </w:r>
          </w:p>
        </w:tc>
        <w:tc>
          <w:tcPr>
            <w:tcW w:w="1133"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17228</w:t>
            </w:r>
          </w:p>
        </w:tc>
        <w:tc>
          <w:tcPr>
            <w:tcW w:w="1135"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52,92</w:t>
            </w:r>
          </w:p>
        </w:tc>
        <w:tc>
          <w:tcPr>
            <w:tcW w:w="1134"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NULLO</w:t>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GENNERUXI-GIORNO</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LUDOVICO ARIOSTO-GIORNO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MATTEO MARIA BOIARDO-GIORNO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NICCOLO MACHIAVELLI-GIORNO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PIETRO CAVARO-GIORNO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SAN BENEDETTO-GIORNO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ELEONORA DARBOREA-GIORNO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7AC</w:t>
            </w:r>
          </w:p>
        </w:tc>
        <w:tc>
          <w:tcPr>
            <w:tcW w:w="99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1803</w:t>
            </w:r>
          </w:p>
        </w:tc>
        <w:tc>
          <w:tcPr>
            <w:tcW w:w="849"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74</w:t>
            </w:r>
          </w:p>
        </w:tc>
        <w:tc>
          <w:tcPr>
            <w:tcW w:w="113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22289</w:t>
            </w:r>
          </w:p>
        </w:tc>
        <w:tc>
          <w:tcPr>
            <w:tcW w:w="1135"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55,82</w:t>
            </w:r>
          </w:p>
        </w:tc>
        <w:tc>
          <w:tcPr>
            <w:tcW w:w="1134"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NULLO</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OTTONE BACAREDDA-GIORNO</w:t>
            </w:r>
          </w:p>
        </w:tc>
        <w:tc>
          <w:tcPr>
            <w:tcW w:w="850"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7AC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SIDNEY SONNINO-GIORNO</w:t>
            </w:r>
          </w:p>
        </w:tc>
        <w:tc>
          <w:tcPr>
            <w:tcW w:w="850"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7AC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VIALE REGINA MARGHERITA-GIORNO</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7AC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CORSO VITTORIO EMANUELE-GIORNO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8AC</w:t>
            </w:r>
          </w:p>
        </w:tc>
        <w:tc>
          <w:tcPr>
            <w:tcW w:w="993"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1929</w:t>
            </w:r>
          </w:p>
        </w:tc>
        <w:tc>
          <w:tcPr>
            <w:tcW w:w="849"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75</w:t>
            </w:r>
          </w:p>
        </w:tc>
        <w:tc>
          <w:tcPr>
            <w:tcW w:w="1133"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24484</w:t>
            </w:r>
          </w:p>
        </w:tc>
        <w:tc>
          <w:tcPr>
            <w:tcW w:w="1135"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1929</w:t>
            </w:r>
          </w:p>
        </w:tc>
        <w:tc>
          <w:tcPr>
            <w:tcW w:w="852"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75</w:t>
            </w:r>
          </w:p>
        </w:tc>
        <w:tc>
          <w:tcPr>
            <w:tcW w:w="1134"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24484</w:t>
            </w:r>
          </w:p>
        </w:tc>
        <w:tc>
          <w:tcPr>
            <w:tcW w:w="991" w:type="dxa"/>
            <w:vMerge w:val="restart"/>
            <w:tcBorders>
              <w:left w:val="single" w:sz="4" w:space="0" w:color="000000"/>
              <w:bottom w:val="single" w:sz="4" w:space="0" w:color="000000"/>
              <w:right w:val="single" w:sz="4" w:space="0" w:color="000000"/>
            </w:tcBorders>
            <w:shd w:color="000000" w:fill="F8CBAD" w:val="clear"/>
            <w:vAlign w:val="center"/>
          </w:tcPr>
          <w:p>
            <w:pPr>
              <w:pStyle w:val="Normal"/>
              <w:widowControl/>
              <w:suppressAutoHyphens w:val="false"/>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ALTO</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GOFFREDO MAMELI-GIORNO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8AC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POLA-GIORNO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8AC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SANT’IGNAZIO-GIORNO</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8AC</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111094"/>
                <w:kern w:val="0"/>
                <w:sz w:val="14"/>
                <w:szCs w:val="20"/>
                <w:lang w:eastAsia="it-IT" w:bidi="ar-SA"/>
              </w:rPr>
            </w:pPr>
            <w:r>
              <w:rPr>
                <w:rFonts w:eastAsia="Times New Roman" w:cs="Arial" w:ascii="Arial" w:hAnsi="Arial"/>
                <w:b/>
                <w:bCs/>
                <w:color w:val="111094"/>
                <w:kern w:val="0"/>
                <w:sz w:val="14"/>
                <w:szCs w:val="20"/>
                <w:lang w:eastAsia="it-IT" w:bidi="ar-SA"/>
              </w:rPr>
              <w:t>TOTALE</w:t>
            </w:r>
          </w:p>
        </w:tc>
        <w:tc>
          <w:tcPr>
            <w:tcW w:w="85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111094"/>
                <w:kern w:val="0"/>
                <w:sz w:val="14"/>
                <w:szCs w:val="20"/>
                <w:lang w:eastAsia="it-IT" w:bidi="ar-SA"/>
              </w:rPr>
            </w:pPr>
            <w:r>
              <w:rPr>
                <w:rFonts w:eastAsia="Times New Roman" w:cs="Arial" w:ascii="Arial" w:hAnsi="Arial"/>
                <w:b/>
                <w:bCs/>
                <w:color w:val="111094"/>
                <w:kern w:val="0"/>
                <w:sz w:val="14"/>
                <w:szCs w:val="20"/>
                <w:lang w:eastAsia="it-IT" w:bidi="ar-SA"/>
              </w:rPr>
            </w:r>
          </w:p>
        </w:tc>
        <w:tc>
          <w:tcPr>
            <w:tcW w:w="127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eastAsia="Times New Roman" w:cs="Times New Roman"/>
                <w:kern w:val="0"/>
                <w:sz w:val="14"/>
                <w:szCs w:val="20"/>
                <w:lang w:eastAsia="it-IT" w:bidi="ar-SA"/>
              </w:rPr>
            </w:pPr>
            <w:r>
              <w:rPr>
                <w:rFonts w:eastAsia="Times New Roman" w:cs="Times New Roman"/>
                <w:kern w:val="0"/>
                <w:sz w:val="14"/>
                <w:szCs w:val="20"/>
                <w:lang w:eastAsia="it-IT" w:bidi="ar-SA"/>
              </w:rPr>
            </w:r>
          </w:p>
        </w:tc>
        <w:tc>
          <w:tcPr>
            <w:tcW w:w="9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11101</w:t>
            </w:r>
          </w:p>
        </w:tc>
        <w:tc>
          <w:tcPr>
            <w:tcW w:w="84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r>
          </w:p>
        </w:tc>
        <w:tc>
          <w:tcPr>
            <w:tcW w:w="113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eastAsia="Times New Roman" w:cs="Times New Roman"/>
                <w:kern w:val="0"/>
                <w:sz w:val="14"/>
                <w:szCs w:val="20"/>
                <w:lang w:eastAsia="it-IT" w:bidi="ar-SA"/>
              </w:rPr>
            </w:pPr>
            <w:r>
              <w:rPr>
                <w:rFonts w:eastAsia="Times New Roman" w:cs="Times New Roman"/>
                <w:kern w:val="0"/>
                <w:sz w:val="14"/>
                <w:szCs w:val="20"/>
                <w:lang w:eastAsia="it-IT" w:bidi="ar-SA"/>
              </w:rPr>
            </w:r>
          </w:p>
        </w:tc>
        <w:tc>
          <w:tcPr>
            <w:tcW w:w="113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2775</w:t>
            </w:r>
          </w:p>
        </w:tc>
        <w:tc>
          <w:tcPr>
            <w:tcW w:w="85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r>
          </w:p>
        </w:tc>
        <w:tc>
          <w:tcPr>
            <w:tcW w:w="113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eastAsia="Times New Roman" w:cs="Times New Roman"/>
                <w:kern w:val="0"/>
                <w:sz w:val="14"/>
                <w:szCs w:val="20"/>
                <w:lang w:eastAsia="it-IT" w:bidi="ar-SA"/>
              </w:rPr>
            </w:pPr>
            <w:r>
              <w:rPr>
                <w:rFonts w:eastAsia="Times New Roman" w:cs="Times New Roman"/>
                <w:kern w:val="0"/>
                <w:sz w:val="14"/>
                <w:szCs w:val="20"/>
                <w:lang w:eastAsia="it-IT" w:bidi="ar-SA"/>
              </w:rPr>
            </w:r>
          </w:p>
        </w:tc>
        <w:tc>
          <w:tcPr>
            <w:tcW w:w="9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jc w:val="center"/>
              <w:textAlignment w:val="auto"/>
              <w:rPr>
                <w:rFonts w:eastAsia="Times New Roman" w:cs="Times New Roman"/>
                <w:kern w:val="0"/>
                <w:sz w:val="14"/>
                <w:szCs w:val="20"/>
                <w:lang w:eastAsia="it-IT" w:bidi="ar-SA"/>
              </w:rPr>
            </w:pPr>
            <w:r>
              <w:rPr>
                <w:rFonts w:eastAsia="Times New Roman" w:cs="Times New Roman"/>
                <w:kern w:val="0"/>
                <w:sz w:val="14"/>
                <w:szCs w:val="20"/>
                <w:lang w:eastAsia="it-IT" w:bidi="ar-SA"/>
              </w:rPr>
            </w:r>
          </w:p>
        </w:tc>
        <w:tc>
          <w:tcPr>
            <w:tcW w:w="1841"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textAlignment w:val="auto"/>
              <w:rPr>
                <w:rFonts w:ascii="Arial" w:hAnsi="Arial" w:eastAsia="Times New Roman" w:cs="Arial"/>
                <w:color w:val="111094"/>
                <w:kern w:val="0"/>
                <w:sz w:val="14"/>
                <w:szCs w:val="20"/>
                <w:lang w:eastAsia="it-IT" w:bidi="ar-SA"/>
              </w:rPr>
            </w:pPr>
            <w:r>
              <w:rPr/>
            </w:r>
          </w:p>
        </w:tc>
      </w:tr>
    </w:tbl>
    <w:p>
      <w:pPr>
        <w:pStyle w:val="Standard"/>
        <w:rPr>
          <w:rFonts w:ascii="Arial" w:hAnsi="Arial" w:cs="Arial"/>
          <w:sz w:val="20"/>
          <w:szCs w:val="20"/>
        </w:rPr>
      </w:pPr>
      <w:r>
        <w:rPr>
          <w:rFonts w:cs="Arial" w:ascii="Arial" w:hAnsi="Arial"/>
          <w:sz w:val="20"/>
          <w:szCs w:val="20"/>
        </w:rPr>
      </w:r>
    </w:p>
    <w:p>
      <w:pPr>
        <w:pStyle w:val="Normal"/>
        <w:rPr>
          <w:rFonts w:ascii="Arial" w:hAnsi="Arial" w:cs="Arial"/>
          <w:sz w:val="20"/>
          <w:szCs w:val="20"/>
        </w:rPr>
      </w:pPr>
      <w:r>
        <w:rPr>
          <w:rFonts w:cs="Arial" w:ascii="Arial" w:hAnsi="Arial"/>
          <w:sz w:val="20"/>
          <w:szCs w:val="20"/>
        </w:rPr>
      </w:r>
      <w:r>
        <w:br w:type="page"/>
      </w:r>
    </w:p>
    <w:p>
      <w:pPr>
        <w:pStyle w:val="Standard"/>
        <w:spacing w:before="0" w:after="0"/>
        <w:rPr>
          <w:rFonts w:ascii="Arial" w:hAnsi="Arial" w:cs="Arial"/>
          <w:sz w:val="20"/>
          <w:szCs w:val="20"/>
        </w:rPr>
      </w:pPr>
      <w:r>
        <w:rPr>
          <w:rFonts w:cs="Arial" w:ascii="Arial" w:hAnsi="Arial"/>
          <w:sz w:val="20"/>
          <w:szCs w:val="20"/>
        </w:rPr>
        <w:t>LNIGHT</w:t>
      </w:r>
    </w:p>
    <w:p>
      <w:pPr>
        <w:pStyle w:val="Standard"/>
        <w:rPr>
          <w:rFonts w:ascii="Arial" w:hAnsi="Arial" w:cs="Arial"/>
          <w:sz w:val="20"/>
          <w:szCs w:val="20"/>
        </w:rPr>
      </w:pPr>
      <w:r>
        <w:rPr>
          <w:rFonts w:cs="Arial" w:ascii="Arial" w:hAnsi="Arial"/>
          <w:sz w:val="20"/>
          <w:szCs w:val="20"/>
        </w:rPr>
      </w:r>
    </w:p>
    <w:tbl>
      <w:tblPr>
        <w:tblW w:w="13892" w:type="dxa"/>
        <w:jc w:val="left"/>
        <w:tblInd w:w="-5" w:type="dxa"/>
        <w:tblLayout w:type="fixed"/>
        <w:tblCellMar>
          <w:top w:w="0" w:type="dxa"/>
          <w:left w:w="70" w:type="dxa"/>
          <w:bottom w:w="0" w:type="dxa"/>
          <w:right w:w="70" w:type="dxa"/>
        </w:tblCellMar>
        <w:tblLook w:firstRow="1" w:noVBand="1" w:lastRow="0" w:firstColumn="1" w:lastColumn="0" w:noHBand="0" w:val="04a0"/>
      </w:tblPr>
      <w:tblGrid>
        <w:gridCol w:w="2835"/>
        <w:gridCol w:w="850"/>
        <w:gridCol w:w="1277"/>
        <w:gridCol w:w="993"/>
        <w:gridCol w:w="849"/>
        <w:gridCol w:w="1133"/>
        <w:gridCol w:w="1135"/>
        <w:gridCol w:w="852"/>
        <w:gridCol w:w="1134"/>
        <w:gridCol w:w="991"/>
        <w:gridCol w:w="1841"/>
      </w:tblGrid>
      <w:tr>
        <w:trPr>
          <w:tblHeader w:val="true"/>
          <w:trHeight w:val="900" w:hRule="atLeast"/>
        </w:trPr>
        <w:tc>
          <w:tcPr>
            <w:tcW w:w="283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Arial" w:hAnsi="Arial" w:eastAsia="Times New Roman" w:cs="Arial"/>
                <w:b/>
                <w:bCs/>
                <w:color w:val="111094"/>
                <w:kern w:val="0"/>
                <w:sz w:val="14"/>
                <w:szCs w:val="20"/>
                <w:lang w:eastAsia="it-IT" w:bidi="ar-SA"/>
              </w:rPr>
            </w:pPr>
            <w:r>
              <w:rPr>
                <w:rFonts w:eastAsia="Times New Roman" w:cs="Arial" w:ascii="Arial" w:hAnsi="Arial"/>
                <w:b/>
                <w:bCs/>
                <w:color w:val="111094"/>
                <w:kern w:val="0"/>
                <w:sz w:val="14"/>
                <w:szCs w:val="20"/>
                <w:lang w:eastAsia="it-IT" w:bidi="ar-SA"/>
              </w:rPr>
              <w:t>NOTTE</w:t>
            </w:r>
          </w:p>
        </w:tc>
        <w:tc>
          <w:tcPr>
            <w:tcW w:w="850"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I_CRITIC</w:t>
            </w:r>
          </w:p>
        </w:tc>
        <w:tc>
          <w:tcPr>
            <w:tcW w:w="1277"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Area critica</w:t>
            </w:r>
          </w:p>
        </w:tc>
        <w:tc>
          <w:tcPr>
            <w:tcW w:w="993"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Popolazione esposta pre interventi</w:t>
            </w:r>
          </w:p>
        </w:tc>
        <w:tc>
          <w:tcPr>
            <w:tcW w:w="849"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LNight dB(A) pre interventi</w:t>
            </w:r>
          </w:p>
        </w:tc>
        <w:tc>
          <w:tcPr>
            <w:tcW w:w="1133"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Indice_Criticità pre interventi</w:t>
            </w:r>
          </w:p>
        </w:tc>
        <w:tc>
          <w:tcPr>
            <w:tcW w:w="1135"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Popolazione post interventi</w:t>
            </w:r>
          </w:p>
        </w:tc>
        <w:tc>
          <w:tcPr>
            <w:tcW w:w="852"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LNight dB(A) post interventi</w:t>
            </w:r>
          </w:p>
        </w:tc>
        <w:tc>
          <w:tcPr>
            <w:tcW w:w="1134"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Indice_Criticità post interventi</w:t>
            </w:r>
          </w:p>
        </w:tc>
        <w:tc>
          <w:tcPr>
            <w:tcW w:w="991"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Calibri" w:hAnsi="Calibri" w:eastAsia="Times New Roman" w:cs="Calibri"/>
                <w:b/>
                <w:bCs/>
                <w:color w:val="000000"/>
                <w:kern w:val="0"/>
                <w:sz w:val="14"/>
                <w:szCs w:val="22"/>
                <w:lang w:eastAsia="it-IT" w:bidi="ar-SA"/>
              </w:rPr>
            </w:pPr>
            <w:r>
              <w:rPr>
                <w:rFonts w:eastAsia="Times New Roman" w:cs="Calibri" w:ascii="Calibri" w:hAnsi="Calibri"/>
                <w:b/>
                <w:bCs/>
                <w:color w:val="000000"/>
                <w:kern w:val="0"/>
                <w:sz w:val="14"/>
                <w:szCs w:val="22"/>
                <w:lang w:eastAsia="it-IT" w:bidi="ar-SA"/>
              </w:rPr>
              <w:t>Rischio post interventi</w:t>
            </w:r>
          </w:p>
        </w:tc>
        <w:tc>
          <w:tcPr>
            <w:tcW w:w="1841" w:type="dxa"/>
            <w:tcBorders>
              <w:top w:val="single" w:sz="4" w:space="0" w:color="000000"/>
              <w:bottom w:val="single" w:sz="4" w:space="0" w:color="000000"/>
              <w:right w:val="single" w:sz="4" w:space="0" w:color="000000"/>
            </w:tcBorders>
            <w:shd w:color="auto" w:fill="auto" w:val="clear"/>
            <w:vAlign w:val="center"/>
          </w:tcPr>
          <w:p>
            <w:pPr>
              <w:pStyle w:val="Normal"/>
              <w:widowControl/>
              <w:suppressAutoHyphens w:val="false"/>
              <w:ind w:firstLine="16" w:left="-16"/>
              <w:jc w:val="center"/>
              <w:textAlignment w:val="auto"/>
              <w:rPr>
                <w:rFonts w:ascii="Arial" w:hAnsi="Arial" w:eastAsia="Times New Roman" w:cs="Arial"/>
                <w:b/>
                <w:bCs/>
                <w:color w:val="000000"/>
                <w:kern w:val="0"/>
                <w:sz w:val="14"/>
                <w:szCs w:val="20"/>
                <w:lang w:eastAsia="it-IT" w:bidi="ar-SA"/>
              </w:rPr>
            </w:pPr>
            <w:r>
              <w:rPr>
                <w:rFonts w:eastAsia="Times New Roman" w:cs="Arial" w:ascii="Arial" w:hAnsi="Arial"/>
                <w:b/>
                <w:bCs/>
                <w:color w:val="000000"/>
                <w:kern w:val="0"/>
                <w:sz w:val="14"/>
                <w:szCs w:val="20"/>
                <w:lang w:eastAsia="it-IT" w:bidi="ar-SA"/>
              </w:rPr>
              <w:t>TIPOLOGIA INTERVENTO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CIMABUE-NOTTE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1ACN</w:t>
            </w:r>
          </w:p>
        </w:tc>
        <w:tc>
          <w:tcPr>
            <w:tcW w:w="99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1193</w:t>
            </w:r>
          </w:p>
        </w:tc>
        <w:tc>
          <w:tcPr>
            <w:tcW w:w="849"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71</w:t>
            </w:r>
          </w:p>
        </w:tc>
        <w:tc>
          <w:tcPr>
            <w:tcW w:w="113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10385</w:t>
            </w:r>
          </w:p>
        </w:tc>
        <w:tc>
          <w:tcPr>
            <w:tcW w:w="1135"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1193</w:t>
            </w:r>
          </w:p>
        </w:tc>
        <w:tc>
          <w:tcPr>
            <w:tcW w:w="852"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55,2</w:t>
            </w:r>
          </w:p>
        </w:tc>
        <w:tc>
          <w:tcPr>
            <w:tcW w:w="1134"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238,6</w:t>
            </w:r>
          </w:p>
        </w:tc>
        <w:tc>
          <w:tcPr>
            <w:tcW w:w="991"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BASSA</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CRESPELLANI-NOTTE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1ACN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GHERARDO DELLE NOTTI-NOTTE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BASSO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2ACN</w:t>
            </w:r>
          </w:p>
        </w:tc>
        <w:tc>
          <w:tcPr>
            <w:tcW w:w="99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411</w:t>
            </w:r>
          </w:p>
        </w:tc>
        <w:tc>
          <w:tcPr>
            <w:tcW w:w="849"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65</w:t>
            </w:r>
          </w:p>
        </w:tc>
        <w:tc>
          <w:tcPr>
            <w:tcW w:w="113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3731</w:t>
            </w:r>
          </w:p>
        </w:tc>
        <w:tc>
          <w:tcPr>
            <w:tcW w:w="1135"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411</w:t>
            </w:r>
          </w:p>
        </w:tc>
        <w:tc>
          <w:tcPr>
            <w:tcW w:w="852"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50,3</w:t>
            </w:r>
          </w:p>
        </w:tc>
        <w:tc>
          <w:tcPr>
            <w:tcW w:w="1134"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123,3</w:t>
            </w:r>
          </w:p>
        </w:tc>
        <w:tc>
          <w:tcPr>
            <w:tcW w:w="991"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BASSA</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MARIO DE MARTIS-NOTTE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BASSO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2ACN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GIUSEPPE ASQUER-NOTTE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BASSO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2ACN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CORNALIAS-NOTTE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3ACN</w:t>
            </w:r>
          </w:p>
        </w:tc>
        <w:tc>
          <w:tcPr>
            <w:tcW w:w="99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1381</w:t>
            </w:r>
          </w:p>
        </w:tc>
        <w:tc>
          <w:tcPr>
            <w:tcW w:w="849"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62</w:t>
            </w:r>
          </w:p>
        </w:tc>
        <w:tc>
          <w:tcPr>
            <w:tcW w:w="1133"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15698</w:t>
            </w:r>
          </w:p>
        </w:tc>
        <w:tc>
          <w:tcPr>
            <w:tcW w:w="1135"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1381</w:t>
            </w:r>
          </w:p>
        </w:tc>
        <w:tc>
          <w:tcPr>
            <w:tcW w:w="852"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51,3</w:t>
            </w:r>
          </w:p>
        </w:tc>
        <w:tc>
          <w:tcPr>
            <w:tcW w:w="1134"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8700,3</w:t>
            </w:r>
          </w:p>
        </w:tc>
        <w:tc>
          <w:tcPr>
            <w:tcW w:w="991" w:type="dxa"/>
            <w:vMerge w:val="restart"/>
            <w:tcBorders>
              <w:left w:val="single" w:sz="4" w:space="0" w:color="000000"/>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BASSA</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GIOTTO-NOTTE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3ACN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PIERO DELLA FRANCESCA-NOTTE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3ACN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DESSY DELIPERI-NOTTE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3ACN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VITTORE CARPACCIO-NOTTE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ALTO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3ACN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VITTORIO SANNA-NOTTE</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4ACN</w:t>
            </w:r>
          </w:p>
        </w:tc>
        <w:tc>
          <w:tcPr>
            <w:tcW w:w="993"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459</w:t>
            </w:r>
          </w:p>
        </w:tc>
        <w:tc>
          <w:tcPr>
            <w:tcW w:w="849"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58</w:t>
            </w:r>
          </w:p>
        </w:tc>
        <w:tc>
          <w:tcPr>
            <w:tcW w:w="1133"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5858</w:t>
            </w:r>
          </w:p>
        </w:tc>
        <w:tc>
          <w:tcPr>
            <w:tcW w:w="1135"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459</w:t>
            </w:r>
          </w:p>
        </w:tc>
        <w:tc>
          <w:tcPr>
            <w:tcW w:w="852"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40,2</w:t>
            </w:r>
          </w:p>
        </w:tc>
        <w:tc>
          <w:tcPr>
            <w:tcW w:w="1134"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1468,8</w:t>
            </w:r>
          </w:p>
        </w:tc>
        <w:tc>
          <w:tcPr>
            <w:tcW w:w="991"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BASSA</w:t>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ANTONIO ARGIOLAS-NOTTE</w:t>
            </w:r>
          </w:p>
        </w:tc>
        <w:tc>
          <w:tcPr>
            <w:tcW w:w="850"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MEDIO</w:t>
            </w:r>
          </w:p>
        </w:tc>
        <w:tc>
          <w:tcPr>
            <w:tcW w:w="1277" w:type="dxa"/>
            <w:tcBorders>
              <w:bottom w:val="single" w:sz="4" w:space="0" w:color="000000"/>
              <w:right w:val="single" w:sz="4" w:space="0" w:color="000000"/>
            </w:tcBorders>
            <w:shd w:color="000000" w:fill="FFFFCC"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CAGLIARI 5ACN</w:t>
            </w:r>
          </w:p>
        </w:tc>
        <w:tc>
          <w:tcPr>
            <w:tcW w:w="993"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494</w:t>
            </w:r>
          </w:p>
        </w:tc>
        <w:tc>
          <w:tcPr>
            <w:tcW w:w="849"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61</w:t>
            </w:r>
          </w:p>
        </w:tc>
        <w:tc>
          <w:tcPr>
            <w:tcW w:w="1133"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7203</w:t>
            </w:r>
          </w:p>
        </w:tc>
        <w:tc>
          <w:tcPr>
            <w:tcW w:w="1135"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494</w:t>
            </w:r>
          </w:p>
        </w:tc>
        <w:tc>
          <w:tcPr>
            <w:tcW w:w="852"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51,2</w:t>
            </w:r>
          </w:p>
        </w:tc>
        <w:tc>
          <w:tcPr>
            <w:tcW w:w="1134"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3062,8</w:t>
            </w:r>
          </w:p>
        </w:tc>
        <w:tc>
          <w:tcPr>
            <w:tcW w:w="991" w:type="dxa"/>
            <w:vMerge w:val="restart"/>
            <w:tcBorders>
              <w:left w:val="single" w:sz="4" w:space="0" w:color="000000"/>
              <w:bottom w:val="single" w:sz="4" w:space="0" w:color="000000"/>
              <w:right w:val="single" w:sz="4" w:space="0" w:color="000000"/>
            </w:tcBorders>
            <w:shd w:color="000000" w:fill="FFF2CC" w:val="clear"/>
            <w:vAlign w:val="center"/>
          </w:tcPr>
          <w:p>
            <w:pPr>
              <w:pStyle w:val="Normal"/>
              <w:widowControl/>
              <w:suppressAutoHyphens w:val="false"/>
              <w:ind w:firstLine="16" w:left="-16"/>
              <w:jc w:val="center"/>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t>BASSA</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DEL LENTISCO-NOTTE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5ACN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000000"/>
                <w:kern w:val="0"/>
                <w:sz w:val="14"/>
                <w:szCs w:val="20"/>
                <w:lang w:eastAsia="it-IT" w:bidi="ar-SA"/>
              </w:rPr>
            </w:pPr>
            <w:r>
              <w:rPr>
                <w:rFonts w:eastAsia="Times New Roman" w:cs="Arial" w:ascii="Arial" w:hAnsi="Arial"/>
                <w:color w:val="000000"/>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PIAZZA SAN MICHELE-NOTTE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6ACN</w:t>
            </w:r>
          </w:p>
        </w:tc>
        <w:tc>
          <w:tcPr>
            <w:tcW w:w="993"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475</w:t>
            </w:r>
          </w:p>
        </w:tc>
        <w:tc>
          <w:tcPr>
            <w:tcW w:w="849"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66</w:t>
            </w:r>
          </w:p>
        </w:tc>
        <w:tc>
          <w:tcPr>
            <w:tcW w:w="1133"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4397</w:t>
            </w:r>
          </w:p>
        </w:tc>
        <w:tc>
          <w:tcPr>
            <w:tcW w:w="1135"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475</w:t>
            </w:r>
          </w:p>
        </w:tc>
        <w:tc>
          <w:tcPr>
            <w:tcW w:w="852"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467</w:t>
            </w:r>
          </w:p>
        </w:tc>
        <w:tc>
          <w:tcPr>
            <w:tcW w:w="1134"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DEE6EF"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NULLO</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ABRUZZI-NOTTE</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IS MIRRIONIS-NOTTE</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6ACN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MONTE GRAPPA-NOTTE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7ACN</w:t>
            </w:r>
          </w:p>
        </w:tc>
        <w:tc>
          <w:tcPr>
            <w:tcW w:w="993"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590</w:t>
            </w:r>
          </w:p>
        </w:tc>
        <w:tc>
          <w:tcPr>
            <w:tcW w:w="849"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63</w:t>
            </w:r>
          </w:p>
        </w:tc>
        <w:tc>
          <w:tcPr>
            <w:tcW w:w="1133"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5984</w:t>
            </w:r>
          </w:p>
        </w:tc>
        <w:tc>
          <w:tcPr>
            <w:tcW w:w="1135"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590</w:t>
            </w:r>
          </w:p>
        </w:tc>
        <w:tc>
          <w:tcPr>
            <w:tcW w:w="852"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46,9</w:t>
            </w:r>
          </w:p>
        </w:tc>
        <w:tc>
          <w:tcPr>
            <w:tcW w:w="1134"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1121</w:t>
            </w:r>
          </w:p>
        </w:tc>
        <w:tc>
          <w:tcPr>
            <w:tcW w:w="99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BASSA</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CORSO VITTORIO EMANUELE-NOTTE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8ACN</w:t>
            </w:r>
          </w:p>
        </w:tc>
        <w:tc>
          <w:tcPr>
            <w:tcW w:w="993"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1494</w:t>
            </w:r>
          </w:p>
        </w:tc>
        <w:tc>
          <w:tcPr>
            <w:tcW w:w="849"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64</w:t>
            </w:r>
          </w:p>
        </w:tc>
        <w:tc>
          <w:tcPr>
            <w:tcW w:w="1133"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18978</w:t>
            </w:r>
          </w:p>
        </w:tc>
        <w:tc>
          <w:tcPr>
            <w:tcW w:w="1135"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1494</w:t>
            </w:r>
          </w:p>
        </w:tc>
        <w:tc>
          <w:tcPr>
            <w:tcW w:w="852"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46,9</w:t>
            </w:r>
          </w:p>
        </w:tc>
        <w:tc>
          <w:tcPr>
            <w:tcW w:w="1134"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2838,6</w:t>
            </w:r>
          </w:p>
        </w:tc>
        <w:tc>
          <w:tcPr>
            <w:tcW w:w="991" w:type="dxa"/>
            <w:vMerge w:val="restart"/>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BASSA</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SANTIGNAZIO DA LACONI-NOTTE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8ACN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ELEONORA DARBOREA-NOTTE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9ACN</w:t>
            </w:r>
          </w:p>
        </w:tc>
        <w:tc>
          <w:tcPr>
            <w:tcW w:w="993"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556</w:t>
            </w:r>
          </w:p>
        </w:tc>
        <w:tc>
          <w:tcPr>
            <w:tcW w:w="849"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64</w:t>
            </w:r>
          </w:p>
        </w:tc>
        <w:tc>
          <w:tcPr>
            <w:tcW w:w="1133"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6824</w:t>
            </w:r>
          </w:p>
        </w:tc>
        <w:tc>
          <w:tcPr>
            <w:tcW w:w="1135"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000000" w:fill="D9E1F2" w:val="clear"/>
            <w:vAlign w:val="center"/>
          </w:tcPr>
          <w:p>
            <w:pPr>
              <w:pStyle w:val="Normal"/>
              <w:widowControl/>
              <w:suppressAutoHyphens w:val="false"/>
              <w:ind w:firstLine="16" w:left="-16"/>
              <w:jc w:val="center"/>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t>41,4</w:t>
            </w:r>
          </w:p>
        </w:tc>
        <w:tc>
          <w:tcPr>
            <w:tcW w:w="1134"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FFDBB6" w:fill="D9E1F2"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NULLO</w:t>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VIALE REGINA MARGHERITA-NOTTE</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9ACN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Liberation Sans" w:hAnsi="Liberation Sans" w:eastAsia="Times New Roman" w:cs="Liberation Sans"/>
                <w:color w:val="000000"/>
                <w:kern w:val="0"/>
                <w:sz w:val="14"/>
                <w:szCs w:val="20"/>
                <w:lang w:eastAsia="it-IT" w:bidi="ar-SA"/>
              </w:rPr>
            </w:pPr>
            <w:r>
              <w:rPr>
                <w:rFonts w:eastAsia="Times New Roman" w:cs="Liberation Sans" w:ascii="Liberation Sans" w:hAnsi="Liberation Sans"/>
                <w:color w:val="000000"/>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OTTONE BACAREDDA-NOTTE</w:t>
            </w:r>
          </w:p>
        </w:tc>
        <w:tc>
          <w:tcPr>
            <w:tcW w:w="850"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10ACN</w:t>
            </w:r>
          </w:p>
        </w:tc>
        <w:tc>
          <w:tcPr>
            <w:tcW w:w="993"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840</w:t>
            </w:r>
          </w:p>
        </w:tc>
        <w:tc>
          <w:tcPr>
            <w:tcW w:w="849"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64</w:t>
            </w:r>
          </w:p>
        </w:tc>
        <w:tc>
          <w:tcPr>
            <w:tcW w:w="1133"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11120</w:t>
            </w:r>
          </w:p>
        </w:tc>
        <w:tc>
          <w:tcPr>
            <w:tcW w:w="1135"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840</w:t>
            </w:r>
          </w:p>
        </w:tc>
        <w:tc>
          <w:tcPr>
            <w:tcW w:w="852"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51,3</w:t>
            </w:r>
          </w:p>
        </w:tc>
        <w:tc>
          <w:tcPr>
            <w:tcW w:w="1134"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5292</w:t>
            </w:r>
          </w:p>
        </w:tc>
        <w:tc>
          <w:tcPr>
            <w:tcW w:w="991" w:type="dxa"/>
            <w:vMerge w:val="restart"/>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BASSA</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OZIERI-NOTTE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10ACN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TEMPIO-NOTTE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MEDIO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10ACN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SANTALENIXEDDA-NOTTE</w:t>
            </w:r>
          </w:p>
        </w:tc>
        <w:tc>
          <w:tcPr>
            <w:tcW w:w="850"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BASSO</w:t>
            </w:r>
          </w:p>
        </w:tc>
        <w:tc>
          <w:tcPr>
            <w:tcW w:w="1277"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11ACN</w:t>
            </w:r>
          </w:p>
        </w:tc>
        <w:tc>
          <w:tcPr>
            <w:tcW w:w="993"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544</w:t>
            </w:r>
          </w:p>
        </w:tc>
        <w:tc>
          <w:tcPr>
            <w:tcW w:w="849"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63</w:t>
            </w:r>
          </w:p>
        </w:tc>
        <w:tc>
          <w:tcPr>
            <w:tcW w:w="1133"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4457</w:t>
            </w:r>
          </w:p>
        </w:tc>
        <w:tc>
          <w:tcPr>
            <w:tcW w:w="1135"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544</w:t>
            </w:r>
          </w:p>
        </w:tc>
        <w:tc>
          <w:tcPr>
            <w:tcW w:w="852"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55,4</w:t>
            </w:r>
          </w:p>
        </w:tc>
        <w:tc>
          <w:tcPr>
            <w:tcW w:w="1134"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217,6</w:t>
            </w:r>
          </w:p>
        </w:tc>
        <w:tc>
          <w:tcPr>
            <w:tcW w:w="99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BASSA</w:t>
            </w:r>
          </w:p>
        </w:tc>
        <w:tc>
          <w:tcPr>
            <w:tcW w:w="1841" w:type="dxa"/>
            <w:tcBorders>
              <w:bottom w:val="single" w:sz="4" w:space="0" w:color="000000"/>
              <w:right w:val="single" w:sz="4" w:space="0" w:color="000000"/>
            </w:tcBorders>
            <w:shd w:color="F6F9D4" w:fill="F6F9D4"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attraversamento rialzato</w:t>
            </w:r>
          </w:p>
        </w:tc>
      </w:tr>
      <w:tr>
        <w:trPr>
          <w:trHeight w:val="255" w:hRule="atLeast"/>
        </w:trPr>
        <w:tc>
          <w:tcPr>
            <w:tcW w:w="2835" w:type="dxa"/>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SAN BENEDETTO-NOTTE</w:t>
            </w:r>
          </w:p>
        </w:tc>
        <w:tc>
          <w:tcPr>
            <w:tcW w:w="850"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12ACN</w:t>
            </w:r>
          </w:p>
        </w:tc>
        <w:tc>
          <w:tcPr>
            <w:tcW w:w="993"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2147</w:t>
            </w:r>
          </w:p>
        </w:tc>
        <w:tc>
          <w:tcPr>
            <w:tcW w:w="849"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66</w:t>
            </w:r>
          </w:p>
        </w:tc>
        <w:tc>
          <w:tcPr>
            <w:tcW w:w="1133"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18289</w:t>
            </w:r>
          </w:p>
        </w:tc>
        <w:tc>
          <w:tcPr>
            <w:tcW w:w="1135"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0</w:t>
            </w:r>
          </w:p>
        </w:tc>
        <w:tc>
          <w:tcPr>
            <w:tcW w:w="852"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47,4</w:t>
            </w:r>
          </w:p>
        </w:tc>
        <w:tc>
          <w:tcPr>
            <w:tcW w:w="1134"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0</w:t>
            </w:r>
          </w:p>
        </w:tc>
        <w:tc>
          <w:tcPr>
            <w:tcW w:w="991" w:type="dxa"/>
            <w:vMerge w:val="restart"/>
            <w:tcBorders>
              <w:left w:val="single" w:sz="4" w:space="0" w:color="000000"/>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NULLO</w:t>
            </w:r>
          </w:p>
        </w:tc>
        <w:tc>
          <w:tcPr>
            <w:tcW w:w="1841" w:type="dxa"/>
            <w:tcBorders>
              <w:bottom w:val="single" w:sz="4" w:space="0" w:color="000000"/>
              <w:right w:val="single" w:sz="4" w:space="0" w:color="000000"/>
            </w:tcBorders>
            <w:shd w:color="DEE6EF" w:fill="DEE6EF"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asfalto fonoassorbente</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PIAZZA MICHELANGELO-NOTTE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12ACN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left w:val="single" w:sz="4" w:space="0" w:color="000000"/>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VIA MATTEO BOIARDO-NOTTE</w:t>
            </w:r>
          </w:p>
        </w:tc>
        <w:tc>
          <w:tcPr>
            <w:tcW w:w="850"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ALTO</w:t>
            </w:r>
          </w:p>
        </w:tc>
        <w:tc>
          <w:tcPr>
            <w:tcW w:w="1277"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CAGLIARI 12ACN</w:t>
            </w:r>
          </w:p>
        </w:tc>
        <w:tc>
          <w:tcPr>
            <w:tcW w:w="99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49"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5"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852"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4"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991" w:type="dxa"/>
            <w:vMerge w:val="continue"/>
            <w:tcBorders>
              <w:left w:val="single" w:sz="4" w:space="0" w:color="000000"/>
              <w:bottom w:val="single" w:sz="4" w:space="0" w:color="000000"/>
              <w:right w:val="single" w:sz="4" w:space="0" w:color="000000"/>
            </w:tcBorders>
            <w:vAlign w:val="center"/>
          </w:tcPr>
          <w:p>
            <w:pPr>
              <w:pStyle w:val="Normal"/>
              <w:widowControl/>
              <w:suppressAutoHyphens w:val="false"/>
              <w:ind w:firstLine="16" w:left="-16"/>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841" w:type="dxa"/>
            <w:tcBorders>
              <w:bottom w:val="single" w:sz="4" w:space="0" w:color="000000"/>
              <w:right w:val="single" w:sz="4" w:space="0" w:color="000000"/>
            </w:tcBorders>
            <w:shd w:color="FFDBB6" w:fill="FFDBB6" w:val="clear"/>
            <w:vAlign w:val="center"/>
          </w:tcPr>
          <w:p>
            <w:pPr>
              <w:pStyle w:val="Normal"/>
              <w:widowControl/>
              <w:suppressAutoHyphens w:val="false"/>
              <w:ind w:firstLine="16" w:left="-16"/>
              <w:jc w:val="center"/>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ZONA 30</w:t>
            </w:r>
          </w:p>
        </w:tc>
      </w:tr>
      <w:tr>
        <w:trPr>
          <w:trHeight w:val="255" w:hRule="atLeast"/>
        </w:trPr>
        <w:tc>
          <w:tcPr>
            <w:tcW w:w="2835"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TOTALI</w:t>
            </w:r>
          </w:p>
        </w:tc>
        <w:tc>
          <w:tcPr>
            <w:tcW w:w="850"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277"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textAlignment w:val="auto"/>
              <w:rPr>
                <w:rFonts w:eastAsia="Times New Roman" w:cs="Times New Roman"/>
                <w:kern w:val="0"/>
                <w:sz w:val="14"/>
                <w:szCs w:val="20"/>
                <w:lang w:eastAsia="it-IT" w:bidi="ar-SA"/>
              </w:rPr>
            </w:pPr>
            <w:r>
              <w:rPr>
                <w:rFonts w:eastAsia="Times New Roman" w:cs="Times New Roman"/>
                <w:kern w:val="0"/>
                <w:sz w:val="14"/>
                <w:szCs w:val="20"/>
                <w:lang w:eastAsia="it-IT" w:bidi="ar-SA"/>
              </w:rPr>
            </w:r>
          </w:p>
        </w:tc>
        <w:tc>
          <w:tcPr>
            <w:tcW w:w="993"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jc w:val="right"/>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10584</w:t>
            </w:r>
          </w:p>
        </w:tc>
        <w:tc>
          <w:tcPr>
            <w:tcW w:w="849"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jc w:val="right"/>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r>
          </w:p>
        </w:tc>
        <w:tc>
          <w:tcPr>
            <w:tcW w:w="1133"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textAlignment w:val="auto"/>
              <w:rPr>
                <w:rFonts w:eastAsia="Times New Roman" w:cs="Times New Roman"/>
                <w:kern w:val="0"/>
                <w:sz w:val="14"/>
                <w:szCs w:val="20"/>
                <w:lang w:eastAsia="it-IT" w:bidi="ar-SA"/>
              </w:rPr>
            </w:pPr>
            <w:r>
              <w:rPr>
                <w:rFonts w:eastAsia="Times New Roman" w:cs="Times New Roman"/>
                <w:kern w:val="0"/>
                <w:sz w:val="14"/>
                <w:szCs w:val="20"/>
                <w:lang w:eastAsia="it-IT" w:bidi="ar-SA"/>
              </w:rPr>
            </w:r>
          </w:p>
        </w:tc>
        <w:tc>
          <w:tcPr>
            <w:tcW w:w="1135" w:type="dxa"/>
            <w:tcBorders>
              <w:top w:val="single" w:sz="4" w:space="0" w:color="000000"/>
              <w:left w:val="single" w:sz="4" w:space="0" w:color="000000"/>
              <w:bottom w:val="single" w:sz="4" w:space="0" w:color="000000"/>
              <w:right w:val="single" w:sz="4" w:space="0" w:color="000000"/>
            </w:tcBorders>
            <w:shd w:color="auto" w:fill="auto" w:val="clear"/>
            <w:vAlign w:val="bottom"/>
          </w:tcPr>
          <w:p>
            <w:pPr>
              <w:pStyle w:val="Normal"/>
              <w:widowControl/>
              <w:suppressAutoHyphens w:val="false"/>
              <w:jc w:val="right"/>
              <w:textAlignment w:val="auto"/>
              <w:rPr>
                <w:rFonts w:ascii="Arial" w:hAnsi="Arial" w:eastAsia="Times New Roman" w:cs="Arial"/>
                <w:color w:val="111094"/>
                <w:kern w:val="0"/>
                <w:sz w:val="14"/>
                <w:szCs w:val="20"/>
                <w:lang w:eastAsia="it-IT" w:bidi="ar-SA"/>
              </w:rPr>
            </w:pPr>
            <w:r>
              <w:rPr>
                <w:rFonts w:eastAsia="Times New Roman" w:cs="Arial" w:ascii="Arial" w:hAnsi="Arial"/>
                <w:color w:val="111094"/>
                <w:kern w:val="0"/>
                <w:sz w:val="14"/>
                <w:szCs w:val="20"/>
                <w:lang w:eastAsia="it-IT" w:bidi="ar-SA"/>
              </w:rPr>
              <w:t>7881</w:t>
            </w:r>
          </w:p>
        </w:tc>
        <w:tc>
          <w:tcPr>
            <w:tcW w:w="852" w:type="dxa"/>
            <w:tcBorders/>
          </w:tcPr>
          <w:p>
            <w:pPr>
              <w:pStyle w:val="Normal"/>
              <w:rPr/>
            </w:pPr>
            <w:r>
              <w:rPr/>
            </w:r>
          </w:p>
        </w:tc>
        <w:tc>
          <w:tcPr>
            <w:tcW w:w="1134" w:type="dxa"/>
            <w:tcBorders/>
          </w:tcPr>
          <w:p>
            <w:pPr>
              <w:pStyle w:val="Normal"/>
              <w:rPr/>
            </w:pPr>
            <w:r>
              <w:rPr/>
            </w:r>
          </w:p>
        </w:tc>
        <w:tc>
          <w:tcPr>
            <w:tcW w:w="991" w:type="dxa"/>
            <w:tcBorders/>
          </w:tcPr>
          <w:p>
            <w:pPr>
              <w:pStyle w:val="Normal"/>
              <w:rPr/>
            </w:pPr>
            <w:r>
              <w:rPr/>
            </w:r>
          </w:p>
        </w:tc>
        <w:tc>
          <w:tcPr>
            <w:tcW w:w="1841" w:type="dxa"/>
            <w:tcBorders/>
          </w:tcPr>
          <w:p>
            <w:pPr>
              <w:pStyle w:val="Normal"/>
              <w:rPr/>
            </w:pPr>
            <w:r>
              <w:rPr/>
            </w:r>
          </w:p>
        </w:tc>
      </w:tr>
    </w:tbl>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r>
    </w:p>
    <w:p>
      <w:pPr>
        <w:sectPr>
          <w:headerReference w:type="default" r:id="rId28"/>
          <w:headerReference w:type="first" r:id="rId29"/>
          <w:footerReference w:type="default" r:id="rId30"/>
          <w:footerReference w:type="first" r:id="rId31"/>
          <w:type w:val="nextPage"/>
          <w:pgSz w:orient="landscape" w:w="16838" w:h="11906"/>
          <w:pgMar w:left="1134" w:right="1417" w:gutter="0" w:header="708" w:top="1134" w:footer="708" w:bottom="1134"/>
          <w:pgNumType w:fmt="decimal"/>
          <w:formProt w:val="false"/>
          <w:titlePg/>
          <w:textDirection w:val="lrTb"/>
          <w:docGrid w:type="default" w:linePitch="326" w:charSpace="0"/>
        </w:sect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t>La tabella seguente riporta il riepilogo della riduzione di popolazione esposta a seguito degli interventi proposti</w:t>
      </w:r>
    </w:p>
    <w:p>
      <w:pPr>
        <w:pStyle w:val="Standard"/>
        <w:rPr>
          <w:rFonts w:ascii="Arial" w:hAnsi="Arial" w:cs="Arial"/>
          <w:sz w:val="20"/>
          <w:szCs w:val="20"/>
        </w:rPr>
      </w:pPr>
      <w:r>
        <w:rPr>
          <w:rFonts w:cs="Arial" w:ascii="Arial" w:hAnsi="Arial"/>
          <w:sz w:val="20"/>
          <w:szCs w:val="20"/>
        </w:rPr>
      </w:r>
    </w:p>
    <w:tbl>
      <w:tblPr>
        <w:tblStyle w:val="Tabellagriglia5scura-colore6"/>
        <w:tblW w:w="8926" w:type="dxa"/>
        <w:jc w:val="left"/>
        <w:tblInd w:w="-5" w:type="dxa"/>
        <w:shd w:fill="E2EFD9" w:val="clear"/>
        <w:tblLayout w:type="fixed"/>
        <w:tblCellMar>
          <w:top w:w="0" w:type="dxa"/>
          <w:left w:w="108" w:type="dxa"/>
          <w:bottom w:w="0" w:type="dxa"/>
          <w:right w:w="108" w:type="dxa"/>
        </w:tblCellMar>
        <w:tblLook w:firstRow="1" w:noVBand="1" w:lastRow="0" w:firstColumn="1" w:lastColumn="0" w:noHBand="0" w:val="04a0"/>
      </w:tblPr>
      <w:tblGrid>
        <w:gridCol w:w="2700"/>
        <w:gridCol w:w="1829"/>
        <w:gridCol w:w="1420"/>
        <w:gridCol w:w="1415"/>
        <w:gridCol w:w="1562"/>
      </w:tblGrid>
      <w:tr>
        <w:trPr>
          <w:trHeight w:val="300" w:hRule="atLeast"/>
          <w:cnfStyle w:val="100000000000" w:firstRow="1" w:lastRow="0" w:firstColumn="0" w:lastColumn="0" w:oddVBand="0" w:evenVBand="0" w:oddHBand="0" w:evenHBand="0" w:firstRowFirstColumn="0" w:firstRowLastColumn="0" w:lastRowFirstColumn="0" w:lastRowLastColumn="0"/>
        </w:trPr>
        <w:tc>
          <w:tcPr>
            <w:tcW w:w="2700" w:type="dxa"/>
            <w:vMerge w:val="restart"/>
            <w:cnfStyle w:val="001000000000" w:firstRow="0" w:lastRow="0" w:firstColumn="1" w:lastColumn="0" w:oddVBand="0" w:evenVBand="0" w:oddHBand="0" w:evenHBand="0" w:firstRowFirstColumn="0" w:firstRowLastColumn="0" w:lastRowFirstColumn="0" w:lastRowLastColumn="0"/>
            <w:tcBorders>
              <w:top w:val="single" w:sz="4" w:space="0" w:color="000000"/>
              <w:left w:val="single" w:sz="4" w:space="0" w:color="000000"/>
              <w:bottom w:val="nil"/>
              <w:right w:val="nil"/>
            </w:tcBorders>
            <w:shd w:color="auto" w:fill="70AD47" w:themeFill="accent6" w:val="clear"/>
            <w:vAlign w:val="center"/>
          </w:tcPr>
          <w:p>
            <w:pPr>
              <w:pStyle w:val="Normal"/>
              <w:widowControl/>
              <w:suppressAutoHyphens w:val="false"/>
              <w:spacing w:before="0" w:after="0"/>
              <w:jc w:val="center"/>
              <w:textAlignment w:val="auto"/>
              <w:rPr>
                <w:rFonts w:eastAsia="Times New Roman" w:cs="Times New Roman"/>
                <w:kern w:val="0"/>
                <w:lang w:eastAsia="it-IT" w:bidi="ar-SA"/>
              </w:rPr>
            </w:pPr>
            <w:r>
              <w:rPr>
                <w:rFonts w:eastAsia="Times New Roman" w:cs="Calibri" w:ascii="Calibri" w:hAnsi="Calibri"/>
                <w:b/>
                <w:bCs/>
                <w:color w:val="000000"/>
                <w:kern w:val="0"/>
                <w:sz w:val="22"/>
                <w:szCs w:val="22"/>
                <w:lang w:val="it-IT" w:eastAsia="it-IT" w:bidi="ar-SA"/>
              </w:rPr>
              <w:t>Comune</w:t>
            </w:r>
          </w:p>
        </w:tc>
        <w:tc>
          <w:tcPr>
            <w:tcW w:w="3249" w:type="dxa"/>
            <w:gridSpan w:val="2"/>
            <w:tcBorders>
              <w:top w:val="single" w:sz="4" w:space="0" w:color="000000"/>
              <w:left w:val="nil"/>
              <w:bottom w:val="nil"/>
              <w:right w:val="nil"/>
            </w:tcBorders>
            <w:shd w:color="auto" w:fill="70AD47" w:themeFill="accent6" w:val="clear"/>
            <w:vAlign w:val="cente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val="it-IT" w:eastAsia="it-IT" w:bidi="ar-SA"/>
              </w:rPr>
              <w:t>LDEN</w:t>
            </w:r>
          </w:p>
        </w:tc>
        <w:tc>
          <w:tcPr>
            <w:tcW w:w="2977" w:type="dxa"/>
            <w:gridSpan w:val="2"/>
            <w:tcBorders>
              <w:top w:val="single" w:sz="4" w:space="0" w:color="000000"/>
              <w:left w:val="nil"/>
              <w:bottom w:val="nil"/>
              <w:right w:val="single" w:sz="4" w:space="0" w:color="000000"/>
            </w:tcBorders>
            <w:shd w:color="auto" w:fill="70AD47" w:themeFill="accent6" w:val="clear"/>
            <w:vAlign w:val="center"/>
          </w:tcPr>
          <w:p>
            <w:pPr>
              <w:pStyle w:val="Normal"/>
              <w:widowControl/>
              <w:suppressAutoHyphens w:val="false"/>
              <w:spacing w:before="0"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val="it-IT" w:eastAsia="it-IT" w:bidi="ar-SA"/>
              </w:rPr>
              <w:t>LNIGHT</w:t>
            </w:r>
          </w:p>
        </w:tc>
      </w:tr>
      <w:tr>
        <w:trPr>
          <w:trHeight w:val="1800" w:hRule="atLeast"/>
          <w:cnfStyle w:val="000000100000" w:firstRow="0" w:lastRow="0" w:firstColumn="0" w:lastColumn="0" w:oddVBand="0" w:evenVBand="0" w:oddHBand="1" w:evenHBand="0" w:firstRowFirstColumn="0" w:firstRowLastColumn="0" w:lastRowFirstColumn="0" w:lastRowLastColumn="0"/>
        </w:trPr>
        <w:tc>
          <w:tcPr>
            <w:tcW w:w="2700" w:type="dxa"/>
            <w:vMerge w:val="continue"/>
            <w:cnfStyle w:val="001000000000" w:firstRow="0" w:lastRow="0" w:firstColumn="1" w:lastColumn="0" w:oddVBand="0" w:evenVBand="0" w:oddHBand="0" w:evenHBand="0" w:firstRowFirstColumn="0" w:firstRowLastColumn="0" w:lastRowFirstColumn="0" w:lastRowLastColumn="0"/>
            <w:tcBorders>
              <w:left w:val="single" w:sz="4" w:space="0" w:color="000000"/>
              <w:right w:val="nil"/>
            </w:tcBorders>
            <w:shd w:color="auto" w:fill="70AD47" w:themeFill="accent6" w:val="clear"/>
            <w:vAlign w:val="center"/>
          </w:tcPr>
          <w:p>
            <w:pPr>
              <w:pStyle w:val="Normal"/>
              <w:widowControl/>
              <w:suppressAutoHyphens w:val="false"/>
              <w:spacing w:before="0" w:after="0"/>
              <w:jc w:val="center"/>
              <w:textAlignment w:val="auto"/>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eastAsia="it-IT" w:bidi="ar-SA"/>
              </w:rPr>
            </w:r>
          </w:p>
        </w:tc>
        <w:tc>
          <w:tcPr>
            <w:tcW w:w="182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popolazione esposta pre interventi</w:t>
            </w:r>
          </w:p>
        </w:tc>
        <w:tc>
          <w:tcPr>
            <w:tcW w:w="142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popolazione esposta post interventi</w:t>
            </w:r>
          </w:p>
        </w:tc>
        <w:tc>
          <w:tcPr>
            <w:tcW w:w="1415"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popolazione esposta pre interventi</w:t>
            </w:r>
          </w:p>
        </w:tc>
        <w:tc>
          <w:tcPr>
            <w:tcW w:w="156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vAlign w:val="cente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popolazione esposta post interventi</w:t>
            </w:r>
          </w:p>
        </w:tc>
      </w:tr>
      <w:tr>
        <w:trPr>
          <w:trHeight w:val="300" w:hRule="atLeast"/>
        </w:trPr>
        <w:tc>
          <w:tcPr>
            <w:tcW w:w="2700"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val="it-IT" w:eastAsia="it-IT" w:bidi="ar-SA"/>
              </w:rPr>
              <w:t>Assemini</w:t>
            </w:r>
          </w:p>
        </w:tc>
        <w:tc>
          <w:tcPr>
            <w:tcW w:w="182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997</w:t>
            </w:r>
          </w:p>
        </w:tc>
        <w:tc>
          <w:tcPr>
            <w:tcW w:w="142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36</w:t>
            </w:r>
          </w:p>
        </w:tc>
        <w:tc>
          <w:tcPr>
            <w:tcW w:w="1415"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595</w:t>
            </w:r>
          </w:p>
        </w:tc>
        <w:tc>
          <w:tcPr>
            <w:tcW w:w="156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0</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2700"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val="it-IT" w:eastAsia="it-IT" w:bidi="ar-SA"/>
              </w:rPr>
              <w:t>Quartu Sant'Elena</w:t>
            </w:r>
          </w:p>
        </w:tc>
        <w:tc>
          <w:tcPr>
            <w:tcW w:w="182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9355</w:t>
            </w:r>
          </w:p>
        </w:tc>
        <w:tc>
          <w:tcPr>
            <w:tcW w:w="142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0</w:t>
            </w:r>
          </w:p>
        </w:tc>
        <w:tc>
          <w:tcPr>
            <w:tcW w:w="1415"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9593</w:t>
            </w:r>
          </w:p>
        </w:tc>
        <w:tc>
          <w:tcPr>
            <w:tcW w:w="156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9593</w:t>
            </w:r>
          </w:p>
        </w:tc>
      </w:tr>
      <w:tr>
        <w:trPr>
          <w:trHeight w:val="300" w:hRule="atLeast"/>
        </w:trPr>
        <w:tc>
          <w:tcPr>
            <w:tcW w:w="2700"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val="it-IT" w:eastAsia="it-IT" w:bidi="ar-SA"/>
              </w:rPr>
              <w:t>Cagliari</w:t>
            </w:r>
          </w:p>
        </w:tc>
        <w:tc>
          <w:tcPr>
            <w:tcW w:w="1829"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11101</w:t>
            </w:r>
          </w:p>
        </w:tc>
        <w:tc>
          <w:tcPr>
            <w:tcW w:w="142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2775</w:t>
            </w:r>
          </w:p>
        </w:tc>
        <w:tc>
          <w:tcPr>
            <w:tcW w:w="1415"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10584</w:t>
            </w:r>
          </w:p>
        </w:tc>
        <w:tc>
          <w:tcPr>
            <w:tcW w:w="156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tcPr>
          <w:p>
            <w:pPr>
              <w:pStyle w:val="Normal"/>
              <w:widowControl/>
              <w:suppressAutoHyphens w:val="false"/>
              <w:spacing w:before="0"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7881</w:t>
            </w:r>
          </w:p>
        </w:tc>
      </w:tr>
      <w:tr>
        <w:trPr>
          <w:trHeight w:val="300" w:hRule="atLeast"/>
          <w:cnfStyle w:val="000000100000" w:firstRow="0" w:lastRow="0" w:firstColumn="0" w:lastColumn="0" w:oddVBand="0" w:evenVBand="0" w:oddHBand="1" w:evenHBand="0" w:firstRowFirstColumn="0" w:firstRowLastColumn="0" w:lastRowFirstColumn="0" w:lastRowLastColumn="0"/>
        </w:trPr>
        <w:tc>
          <w:tcPr>
            <w:tcW w:w="2700" w:type="dxa"/>
            <w:cnfStyle w:val="001000000000" w:firstRow="0" w:lastRow="0" w:firstColumn="1" w:lastColumn="0" w:oddVBand="0" w:evenVBand="0" w:oddHBand="0" w:evenHBand="0" w:firstRowFirstColumn="0" w:firstRowLastColumn="0" w:lastRowFirstColumn="0" w:lastRowLastColumn="0"/>
            <w:tcBorders>
              <w:right w:val="nil"/>
            </w:tcBorders>
            <w:shd w:color="auto" w:fill="70AD47" w:themeFill="accent6" w:val="clear"/>
          </w:tcPr>
          <w:p>
            <w:pPr>
              <w:pStyle w:val="Normal"/>
              <w:widowControl/>
              <w:suppressAutoHyphens w:val="false"/>
              <w:spacing w:before="0" w:after="0"/>
              <w:jc w:val="center"/>
              <w:textAlignment w:val="auto"/>
              <w:rPr>
                <w:rFonts w:ascii="Calibri" w:hAnsi="Calibri" w:eastAsia="Times New Roman" w:cs="Calibri"/>
                <w:color w:val="000000"/>
                <w:kern w:val="0"/>
                <w:sz w:val="22"/>
                <w:szCs w:val="22"/>
                <w:lang w:eastAsia="it-IT" w:bidi="ar-SA"/>
              </w:rPr>
            </w:pPr>
            <w:r>
              <w:rPr>
                <w:rFonts w:eastAsia="Times New Roman" w:cs="Calibri" w:ascii="Calibri" w:hAnsi="Calibri"/>
                <w:b/>
                <w:bCs/>
                <w:color w:val="000000"/>
                <w:kern w:val="0"/>
                <w:sz w:val="22"/>
                <w:szCs w:val="22"/>
                <w:lang w:val="it-IT" w:eastAsia="it-IT" w:bidi="ar-SA"/>
              </w:rPr>
              <w:t>TOTALE</w:t>
            </w:r>
          </w:p>
        </w:tc>
        <w:tc>
          <w:tcPr>
            <w:tcW w:w="1829"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21453</w:t>
            </w:r>
          </w:p>
        </w:tc>
        <w:tc>
          <w:tcPr>
            <w:tcW w:w="1420"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2811</w:t>
            </w:r>
          </w:p>
        </w:tc>
        <w:tc>
          <w:tcPr>
            <w:tcW w:w="1415"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20772</w:t>
            </w:r>
          </w:p>
        </w:tc>
        <w:tc>
          <w:tcPr>
            <w:tcW w:w="1562" w:type="dxa"/>
            <w:tcBorders>
              <w:top w:val="single" w:sz="4" w:space="0" w:color="000000"/>
              <w:left w:val="single" w:sz="4" w:space="0" w:color="000000"/>
              <w:bottom w:val="single" w:sz="4" w:space="0" w:color="000000"/>
              <w:right w:val="single" w:sz="4" w:space="0" w:color="000000"/>
            </w:tcBorders>
            <w:shd w:color="auto" w:fill="C5E0B3" w:themeFill="accent6" w:themeFillTint="66" w:val="clear"/>
          </w:tcPr>
          <w:p>
            <w:pPr>
              <w:pStyle w:val="Normal"/>
              <w:widowControl/>
              <w:suppressAutoHyphens w:val="false"/>
              <w:spacing w:before="0" w:after="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kern w:val="0"/>
                <w:sz w:val="22"/>
                <w:szCs w:val="22"/>
                <w:lang w:eastAsia="it-IT" w:bidi="ar-SA"/>
              </w:rPr>
            </w:pPr>
            <w:r>
              <w:rPr>
                <w:rFonts w:eastAsia="Times New Roman" w:cs="Calibri" w:ascii="Calibri" w:hAnsi="Calibri"/>
                <w:color w:val="000000"/>
                <w:kern w:val="0"/>
                <w:sz w:val="22"/>
                <w:szCs w:val="22"/>
                <w:lang w:val="it-IT" w:eastAsia="it-IT" w:bidi="ar-SA"/>
              </w:rPr>
              <w:t>17474</w:t>
            </w:r>
          </w:p>
        </w:tc>
      </w:tr>
    </w:tbl>
    <w:p>
      <w:pPr>
        <w:pStyle w:val="Standard"/>
        <w:rPr>
          <w:rFonts w:ascii="Arial" w:hAnsi="Arial" w:cs="Arial"/>
          <w:sz w:val="20"/>
          <w:szCs w:val="20"/>
        </w:rPr>
      </w:pPr>
      <w:r>
        <w:rPr>
          <w:rFonts w:cs="Arial" w:ascii="Arial" w:hAnsi="Arial"/>
          <w:sz w:val="20"/>
          <w:szCs w:val="20"/>
        </w:rPr>
      </w:r>
    </w:p>
    <w:p>
      <w:pPr>
        <w:pStyle w:val="Standard"/>
        <w:rPr>
          <w:rFonts w:ascii="Arial" w:hAnsi="Arial" w:cs="Arial"/>
          <w:sz w:val="20"/>
          <w:szCs w:val="20"/>
        </w:rPr>
      </w:pPr>
      <w:r>
        <w:rPr>
          <w:rFonts w:cs="Arial" w:ascii="Arial" w:hAnsi="Arial"/>
          <w:sz w:val="20"/>
          <w:szCs w:val="20"/>
        </w:rPr>
        <w:t>Si stima pertanto una riduzione della popolazione esposta pari a 87% (LDEN) e 17% (LNIGHT)</w:t>
      </w:r>
    </w:p>
    <w:p>
      <w:pPr>
        <w:pStyle w:val="Heading1"/>
        <w:numPr>
          <w:ilvl w:val="0"/>
          <w:numId w:val="289"/>
        </w:numPr>
        <w:rPr/>
      </w:pPr>
      <w:bookmarkStart w:id="115" w:name="__RefHeading___Toc6667_3300957195"/>
      <w:bookmarkStart w:id="116" w:name="_Toc178778200"/>
      <w:bookmarkEnd w:id="115"/>
      <w:r>
        <w:rPr/>
        <w:t>INFORMAZIONI DI CARATTERE FINANZIARIO – Requisito di cui all. 5 D.Lgs. 194/2005 lett.m)</w:t>
      </w:r>
      <w:bookmarkEnd w:id="116"/>
    </w:p>
    <w:p>
      <w:pPr>
        <w:pStyle w:val="StandardWW"/>
        <w:spacing w:lineRule="auto" w:line="240"/>
        <w:rPr>
          <w:rFonts w:eastAsia="Mangal"/>
          <w:lang w:eastAsia="hi-IN"/>
        </w:rPr>
      </w:pPr>
      <w:r>
        <w:rPr>
          <w:rFonts w:eastAsia="Mangal"/>
          <w:lang w:eastAsia="hi-IN"/>
        </w:rPr>
      </w:r>
    </w:p>
    <w:p>
      <w:pPr>
        <w:pStyle w:val="NormaleCorpo"/>
        <w:rPr>
          <w:rFonts w:ascii="Arial" w:hAnsi="Arial"/>
          <w:sz w:val="20"/>
          <w:szCs w:val="20"/>
        </w:rPr>
      </w:pPr>
      <w:r>
        <w:rPr>
          <w:rFonts w:cs="Arial" w:ascii="Arial" w:hAnsi="Arial"/>
          <w:sz w:val="20"/>
          <w:szCs w:val="20"/>
        </w:rPr>
        <w:t>L’articolo 10, comma 5 della L.q. 447/95 prevede che i gestori di servizi pubblici di trasporto o delle relative infrastrutture, nel caso di superamento dei valori limite, hanno l’obbligo di impegnare una quota fissa non inferiore al 5% dei fondi di bilancio previsti per le attività di manutenzione e di potenziamento delle infrastrutture stesse per le attività di risanamento acustico.</w:t>
      </w:r>
    </w:p>
    <w:p>
      <w:pPr>
        <w:pStyle w:val="NormaleCorpo"/>
        <w:rPr>
          <w:highlight w:val="none"/>
          <w:shd w:fill="auto" w:val="clear"/>
        </w:rPr>
      </w:pPr>
      <w:r>
        <w:rPr>
          <w:rFonts w:cs="Arial" w:ascii="Arial" w:hAnsi="Arial"/>
          <w:sz w:val="20"/>
          <w:szCs w:val="20"/>
          <w:shd w:fill="auto" w:val="clear"/>
        </w:rPr>
        <w:t>Le risorse economiche impegnate, con i vincoli citati nei capitoli precedenti, da parte di tutti gli enti coinvolti come sorgente di rumore nell'Agglomerato ammontano a circa 60 milioni di €.</w:t>
      </w:r>
    </w:p>
    <w:p>
      <w:pPr>
        <w:pStyle w:val="NormaleCorpo"/>
        <w:rPr>
          <w:highlight w:val="none"/>
          <w:shd w:fill="auto" w:val="clear"/>
        </w:rPr>
      </w:pPr>
      <w:r>
        <w:rPr>
          <w:rFonts w:cs="Arial" w:ascii="Arial" w:hAnsi="Arial"/>
          <w:sz w:val="20"/>
          <w:szCs w:val="20"/>
          <w:shd w:fill="auto" w:val="clear"/>
        </w:rPr>
        <w:t>La Città Metropolitana di Cagliari aveva stanziato in precedenza, tramite un accordo di programma con i comuni dell'area metropolitana e CTM, un finanziamento di circa 9 milioni di €, relativo al governo della mobilità e legato alla realizzazione di infrastrutture tecnologiche utili anche al monitoraggio del traffico privato e quindi dati indispensabili per le future pianificazioni dei piani urbani del traffico e della mobilità sostenibile, strumenti efficaci nelle scelte a lungo termine per la mitigazione del rumore prodotto da queste infrastrutture di trasporto.</w:t>
      </w:r>
    </w:p>
    <w:p>
      <w:pPr>
        <w:pStyle w:val="NormaleCorpo"/>
        <w:suppressAutoHyphens w:val="false"/>
        <w:spacing w:lineRule="auto" w:line="276" w:before="120" w:after="0"/>
        <w:ind w:firstLine="567"/>
        <w:rPr>
          <w:rFonts w:ascii="Arial" w:hAnsi="Arial"/>
          <w:sz w:val="20"/>
          <w:szCs w:val="20"/>
        </w:rPr>
      </w:pPr>
      <w:r>
        <w:rPr>
          <w:rFonts w:eastAsia="Times New Roman" w:cs="Arial" w:ascii="Arial" w:hAnsi="Arial"/>
          <w:b/>
          <w:bCs/>
          <w:color w:val="000000"/>
          <w:spacing w:val="-2"/>
          <w:sz w:val="20"/>
          <w:szCs w:val="20"/>
          <w:lang w:bidi="ar-SA"/>
        </w:rPr>
        <w:t>l</w:t>
      </w:r>
      <w:r>
        <w:rPr>
          <w:rFonts w:eastAsia="Times New Roman" w:cs="Arial" w:ascii="Arial" w:hAnsi="Arial"/>
          <w:color w:val="000000"/>
          <w:spacing w:val="-2"/>
          <w:sz w:val="20"/>
          <w:szCs w:val="20"/>
          <w:lang w:bidi="ar-SA"/>
        </w:rPr>
        <w:t xml:space="preserve">a Regione Autonoma della Sardegna con Deliberazione 46/12 del 22/12/2023 ha concesso alla Città Metropolitana di Cagliari un </w:t>
      </w:r>
      <w:r>
        <w:rPr>
          <w:rFonts w:eastAsia="Times New Roman" w:cs="Arial" w:ascii="Arial" w:hAnsi="Arial"/>
          <w:b/>
          <w:bCs/>
          <w:color w:val="000000"/>
          <w:spacing w:val="-2"/>
          <w:sz w:val="20"/>
          <w:szCs w:val="20"/>
          <w:lang w:bidi="ar-SA"/>
        </w:rPr>
        <w:t xml:space="preserve">contributo di € 1.500.00,00 </w:t>
      </w:r>
      <w:r>
        <w:rPr>
          <w:rFonts w:eastAsia="Times New Roman" w:cs="Arial" w:ascii="Arial" w:hAnsi="Arial"/>
          <w:i/>
          <w:iCs/>
          <w:color w:val="000000"/>
          <w:spacing w:val="-2"/>
          <w:sz w:val="20"/>
          <w:szCs w:val="20"/>
          <w:lang w:bidi="ar-SA"/>
        </w:rPr>
        <w:t xml:space="preserve">“ai fini dell'attuazione dei piani d'azioni per il contrasto al rumore ambientale”; </w:t>
      </w:r>
      <w:r>
        <w:rPr>
          <w:rFonts w:eastAsia="Times New Roman" w:cs="Arial" w:ascii="Arial" w:hAnsi="Arial"/>
          <w:color w:val="000000"/>
          <w:spacing w:val="-2"/>
          <w:sz w:val="20"/>
          <w:szCs w:val="20"/>
          <w:lang w:bidi="ar-SA"/>
        </w:rPr>
        <w:t xml:space="preserve">La Città Metropolitana di Cagliari ha manifestato la volontà (con nota Prot. 38183 del 8/11/2024) di trasferire dette risorse ai Comuni, nel cui territorio fossero presenti aree critiche o edifici sensibili, a seguito della presentazione di proposte di intervento volte a </w:t>
      </w:r>
      <w:r>
        <w:rPr>
          <w:rFonts w:eastAsia="Times New Roman" w:cs="Arial" w:ascii="Arial" w:hAnsi="Arial"/>
          <w:i/>
          <w:iCs/>
          <w:color w:val="000000"/>
          <w:spacing w:val="-2"/>
          <w:sz w:val="20"/>
          <w:szCs w:val="20"/>
          <w:lang w:bidi="ar-SA"/>
        </w:rPr>
        <w:t>contrastare il rumore ambientale.</w:t>
      </w:r>
    </w:p>
    <w:p>
      <w:pPr>
        <w:pStyle w:val="NormaleCorpo"/>
        <w:suppressAutoHyphens w:val="false"/>
        <w:spacing w:lineRule="auto" w:line="276" w:before="120" w:after="0"/>
        <w:ind w:firstLine="567"/>
        <w:rPr>
          <w:rFonts w:ascii="Arial" w:hAnsi="Arial"/>
          <w:sz w:val="20"/>
          <w:szCs w:val="20"/>
        </w:rPr>
      </w:pPr>
      <w:r>
        <w:rPr>
          <w:rFonts w:eastAsia="Times New Roman" w:cs="Arial" w:ascii="Arial" w:hAnsi="Arial"/>
          <w:color w:val="000000"/>
          <w:spacing w:val="-2"/>
          <w:sz w:val="20"/>
          <w:szCs w:val="20"/>
          <w:lang w:bidi="ar-SA"/>
        </w:rPr>
        <w:t>Sono pervenute le seguenti proposte, che si intende finanziare, che dovranno essere realizzate entro la data del nuovo aggiornamento della mappatura acustica  (31/03/2027) e per le quali saranno successivamente definite le modalità e tempi di attuazione.</w:t>
      </w:r>
    </w:p>
    <w:p>
      <w:pPr>
        <w:pStyle w:val="Oggetto"/>
        <w:suppressAutoHyphens w:val="false"/>
        <w:ind w:firstLine="567" w:left="0"/>
        <w:jc w:val="both"/>
        <w:rPr>
          <w:rFonts w:ascii="Arial" w:hAnsi="Arial" w:cs="Arial"/>
          <w:b w:val="false"/>
          <w:sz w:val="20"/>
          <w:szCs w:val="20"/>
        </w:rPr>
      </w:pPr>
      <w:r>
        <w:rPr>
          <w:rFonts w:cs="Arial" w:ascii="Arial" w:hAnsi="Arial"/>
          <w:b w:val="false"/>
          <w:sz w:val="20"/>
          <w:szCs w:val="20"/>
        </w:rPr>
        <w:t>con nota Prot. 38765 del 13/11/2024 di cui al Prot. 40181 del 21/11/2024  il comune di Assemini ha presentato una proposta di intervento nelle aree individuate come critiche per un importo di 450.000,00 euro</w:t>
      </w:r>
    </w:p>
    <w:p>
      <w:pPr>
        <w:pStyle w:val="Oggetto"/>
        <w:suppressAutoHyphens w:val="false"/>
        <w:ind w:firstLine="567" w:left="0"/>
        <w:jc w:val="both"/>
        <w:rPr>
          <w:rFonts w:ascii="Arial" w:hAnsi="Arial"/>
          <w:b w:val="false"/>
          <w:sz w:val="20"/>
          <w:szCs w:val="20"/>
        </w:rPr>
      </w:pPr>
      <w:r>
        <w:rPr>
          <w:rFonts w:cs="Arial" w:ascii="Arial" w:hAnsi="Arial"/>
          <w:b w:val="false"/>
          <w:sz w:val="20"/>
          <w:szCs w:val="20"/>
        </w:rPr>
        <w:t xml:space="preserve">con nota di cui al Prot. 42597 </w:t>
      </w:r>
      <w:r>
        <w:rPr>
          <w:rFonts w:cs="Arial" w:ascii="Arial" w:hAnsi="Arial"/>
          <w:b w:val="false"/>
          <w:sz w:val="20"/>
          <w:szCs w:val="20"/>
          <w:lang w:eastAsia="hi-IN"/>
        </w:rPr>
        <w:t>del 9/12/2024</w:t>
      </w:r>
      <w:r>
        <w:rPr>
          <w:rFonts w:cs="Arial" w:ascii="Arial" w:hAnsi="Arial"/>
          <w:b w:val="false"/>
          <w:sz w:val="20"/>
          <w:szCs w:val="20"/>
        </w:rPr>
        <w:t xml:space="preserve">  il comune di Quartu Sant</w:t>
      </w:r>
      <w:r>
        <w:rPr>
          <w:rFonts w:cs="Arial" w:ascii="Arial" w:hAnsi="Arial"/>
          <w:b w:val="false"/>
          <w:sz w:val="20"/>
          <w:szCs w:val="20"/>
          <w:lang w:eastAsia="hi-IN"/>
        </w:rPr>
        <w:t xml:space="preserve">’Elena </w:t>
      </w:r>
      <w:r>
        <w:rPr>
          <w:rFonts w:cs="Arial" w:ascii="Arial" w:hAnsi="Arial"/>
          <w:b w:val="false"/>
          <w:sz w:val="20"/>
          <w:szCs w:val="20"/>
        </w:rPr>
        <w:t xml:space="preserve"> ha presentato una proposta di intervento nelle aree individuate come critiche per un importo di € 188.000</w:t>
      </w:r>
    </w:p>
    <w:p>
      <w:pPr>
        <w:pStyle w:val="Oggetto"/>
        <w:widowControl w:val="false"/>
        <w:numPr>
          <w:ilvl w:val="0"/>
          <w:numId w:val="159"/>
        </w:numPr>
        <w:suppressAutoHyphens w:val="false"/>
        <w:bidi w:val="0"/>
        <w:spacing w:lineRule="auto" w:line="276" w:before="120" w:after="0"/>
        <w:ind w:firstLine="567" w:left="0" w:right="0"/>
        <w:jc w:val="both"/>
        <w:rPr>
          <w:rFonts w:ascii="Calibri" w:hAnsi="Calibri"/>
          <w:b w:val="false"/>
          <w:bCs w:val="false"/>
          <w:sz w:val="20"/>
          <w:szCs w:val="20"/>
          <w:highlight w:val="none"/>
          <w:shd w:fill="auto" w:val="clear"/>
        </w:rPr>
      </w:pP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con nota Prot.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43455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 del </w:t>
      </w:r>
      <w:r>
        <w:rPr>
          <w:rFonts w:eastAsia="Times New Roman" w:cs="Arial" w:ascii="Arial" w:hAnsi="Arial"/>
          <w:b w:val="false"/>
          <w:bCs w:val="false"/>
          <w:i w:val="false"/>
          <w:iCs w:val="false"/>
          <w:color w:val="000000"/>
          <w:spacing w:val="-2"/>
          <w:sz w:val="20"/>
          <w:szCs w:val="20"/>
          <w:u w:val="none"/>
          <w:shd w:fill="auto" w:val="clear"/>
          <w:lang w:val="it-IT" w:eastAsia="zxx" w:bidi="ar-SA"/>
        </w:rPr>
        <w:t>13/12/2024</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il Comune di Cagliari </w:t>
      </w:r>
      <w:r>
        <w:rPr>
          <w:rFonts w:eastAsia="Times New Roman" w:cs="Arial" w:ascii="Arial" w:hAnsi="Arial"/>
          <w:b w:val="false"/>
          <w:bCs w:val="false"/>
          <w:i w:val="false"/>
          <w:iCs w:val="false"/>
          <w:color w:val="000000"/>
          <w:spacing w:val="-2"/>
          <w:sz w:val="20"/>
          <w:szCs w:val="20"/>
          <w:u w:val="none"/>
          <w:shd w:fill="auto" w:val="clear"/>
          <w:lang w:val="it-IT" w:eastAsia="zxx" w:bidi="ar-SA"/>
        </w:rPr>
        <w:t xml:space="preserve">  ha presentato una proposta di intervento nelle aree indivuiduate come critiche per un importo di </w:t>
      </w:r>
      <w:r>
        <w:rPr>
          <w:rFonts w:eastAsia="Times New Roman" w:cs="Arial" w:ascii="Arial" w:hAnsi="Arial"/>
          <w:b w:val="false"/>
          <w:bCs w:val="false"/>
          <w:i w:val="false"/>
          <w:iCs w:val="false"/>
          <w:color w:val="000000"/>
          <w:spacing w:val="-2"/>
          <w:sz w:val="20"/>
          <w:szCs w:val="20"/>
          <w:u w:val="none"/>
          <w:shd w:fill="auto" w:val="clear"/>
          <w:lang w:val="it-IT" w:eastAsia="zxx" w:bidi="ar-SA"/>
        </w:rPr>
        <w:t>€ 3.675.216,00.</w:t>
      </w:r>
    </w:p>
    <w:p>
      <w:pPr>
        <w:pStyle w:val="NormaleCorpo"/>
        <w:suppressAutoHyphens w:val="false"/>
        <w:spacing w:lineRule="auto" w:line="276" w:before="120" w:after="0"/>
        <w:ind w:firstLine="567"/>
        <w:rPr>
          <w:rFonts w:ascii="Arial" w:hAnsi="Arial"/>
          <w:sz w:val="20"/>
          <w:szCs w:val="20"/>
        </w:rPr>
      </w:pPr>
      <w:r>
        <w:rPr/>
      </w:r>
    </w:p>
    <w:p>
      <w:pPr>
        <w:pStyle w:val="Heading1"/>
        <w:numPr>
          <w:ilvl w:val="0"/>
          <w:numId w:val="290"/>
        </w:numPr>
        <w:rPr/>
      </w:pPr>
      <w:bookmarkStart w:id="117" w:name="__RefHeading___Toc6669_3300957195"/>
      <w:bookmarkStart w:id="118" w:name="_Toc178778201"/>
      <w:bookmarkEnd w:id="117"/>
      <w:r>
        <w:rPr/>
        <w:t>DISPOSIZIONI PER LA VALUTAZIONE DELL’ATTUAZIONE E DEI RISULTATI DEL PIANO D’AZIONE - Requisito di cui all. 5 D.Lgs. 194/2005 lett.n)</w:t>
      </w:r>
      <w:bookmarkEnd w:id="118"/>
    </w:p>
    <w:p>
      <w:pPr>
        <w:pStyle w:val="StandardWW"/>
        <w:spacing w:lineRule="auto" w:line="240"/>
        <w:rPr/>
      </w:pPr>
      <w:r>
        <w:rPr/>
      </w:r>
    </w:p>
    <w:p>
      <w:pPr>
        <w:pStyle w:val="NormaleCorpo"/>
        <w:rPr/>
      </w:pPr>
      <w:r>
        <w:rPr>
          <w:rFonts w:cs="Arial" w:ascii="Arial" w:hAnsi="Arial"/>
          <w:sz w:val="20"/>
          <w:szCs w:val="20"/>
        </w:rPr>
        <w:t>Il D.M. 29 novembre 2000 “Criteri per la predisposizione, da parte delle società e degli enti gestori dei servizi pubblici di trasporto e delle relative infrastrutture, dei piani degli interventi di contenimento ed abbattimento del rumore” prevede esplicitamente che entro sei mesi dalla data di ultimazione di ogni intervento previsto nel piano di risanamento, la società o l’ente gestore, nelle aree oggetto dello stesso piano, provvede ad eseguire rilevamenti per accertare il conseguimento degli obiettivi del risanamento. Norme analoghe valgono per i piani di risanamento delle imprese.</w:t>
      </w:r>
    </w:p>
    <w:p>
      <w:pPr>
        <w:pStyle w:val="NormaleCorpo"/>
        <w:rPr/>
      </w:pPr>
      <w:r>
        <w:rPr>
          <w:rFonts w:cs="Arial" w:ascii="Arial" w:hAnsi="Arial"/>
          <w:sz w:val="20"/>
          <w:szCs w:val="20"/>
        </w:rPr>
        <w:t>L’autorità competente, al fine di effettuare gli opportuni monitoraggi e valutazioni, dispone che l’ente gestore, le società e le imprese succitate, provvedano ad inviare tempestivamente adeguata relazione tecnica inerente agli interventi di risanamento realizzati e i rilevamenti effettuati per accertare il conseguimento degli obiettivi di risanamento.</w:t>
      </w:r>
    </w:p>
    <w:p>
      <w:pPr>
        <w:pStyle w:val="NormaleCorpo"/>
        <w:rPr/>
      </w:pPr>
      <w:r>
        <w:rPr>
          <w:rFonts w:cs="Arial" w:ascii="Arial" w:hAnsi="Arial"/>
          <w:sz w:val="20"/>
          <w:szCs w:val="20"/>
        </w:rPr>
        <w:t>La Città Metropolitana di Cagliari, valuterà in collaborazione con ARPA Sardegna, eventuali verifiche e/o rilievi acustici al fine di monitorare gli effetti del piano nell'arco dei prossimi cinque anni. A seguito di riscontri non positivi, si adopererà per sollecitare/stimolare e coordinare gli interventi previsti o eventuali modifiche in itinere degli stessi con tutte le autorità/gestori preposti in quanto titolari dell'infrastruttura.</w:t>
      </w:r>
    </w:p>
    <w:p>
      <w:pPr>
        <w:pStyle w:val="StandardWW"/>
        <w:spacing w:lineRule="auto" w:line="240"/>
        <w:rPr/>
      </w:pPr>
      <w:r>
        <w:rPr/>
      </w:r>
    </w:p>
    <w:p>
      <w:pPr>
        <w:pStyle w:val="StandardWW"/>
        <w:spacing w:lineRule="auto" w:line="240"/>
        <w:rPr/>
      </w:pPr>
      <w:r>
        <w:rPr/>
      </w:r>
    </w:p>
    <w:p>
      <w:pPr>
        <w:pStyle w:val="Heading1"/>
        <w:numPr>
          <w:ilvl w:val="0"/>
          <w:numId w:val="291"/>
        </w:numPr>
        <w:rPr/>
      </w:pPr>
      <w:bookmarkStart w:id="119" w:name="__RefHeading___Toc6671_3300957195"/>
      <w:bookmarkStart w:id="120" w:name="_Toc178778202"/>
      <w:bookmarkEnd w:id="119"/>
      <w:r>
        <w:rPr/>
        <w:t>NUMERO DI PERSONE ESPOSTE CHE BENEFICIANO DELLA RIDUZIONE DEL RUMORE – Requisito di cui all. 5 D.Lgs. 194/2005 punto 3</w:t>
      </w:r>
      <w:bookmarkEnd w:id="120"/>
    </w:p>
    <w:p>
      <w:pPr>
        <w:pStyle w:val="StandardWW"/>
        <w:rPr/>
      </w:pPr>
      <w:r>
        <w:rPr/>
      </w:r>
    </w:p>
    <w:p>
      <w:pPr>
        <w:pStyle w:val="NormaleCorpo"/>
        <w:rPr/>
      </w:pPr>
      <w:r>
        <w:rPr>
          <w:rFonts w:cs="Arial" w:ascii="Arial" w:hAnsi="Arial"/>
          <w:sz w:val="20"/>
          <w:szCs w:val="20"/>
        </w:rPr>
        <w:t>Come riportato in precedenza si stima che gli interventi previsti dagli enti gestori delle infrastrutture stradali (amministrazioni comunali di Assemini, Cagliari e Quartu Sant’Elena) conducano una riduzione media di circa il 87% della popolazione dalle classi di esposizione più elevate spostandosi nella classe di esposizione inferiore per quanto riguarda l’indicatore LDEN e di circa il 17% per l’indicatore LNIGHT.</w:t>
      </w:r>
    </w:p>
    <w:p>
      <w:pPr>
        <w:pStyle w:val="NormaleCorpo"/>
        <w:rPr>
          <w:rFonts w:ascii="Arial" w:hAnsi="Arial" w:cs="Arial"/>
          <w:sz w:val="20"/>
          <w:szCs w:val="20"/>
        </w:rPr>
      </w:pPr>
      <w:r>
        <w:rPr>
          <w:rFonts w:cs="Arial" w:ascii="Arial" w:hAnsi="Arial"/>
          <w:sz w:val="20"/>
          <w:szCs w:val="20"/>
        </w:rPr>
      </w:r>
    </w:p>
    <w:p>
      <w:pPr>
        <w:pStyle w:val="StandardWW"/>
        <w:rPr/>
      </w:pPr>
      <w:r>
        <w:rPr/>
      </w:r>
    </w:p>
    <w:p>
      <w:pPr>
        <w:pStyle w:val="Heading1"/>
        <w:numPr>
          <w:ilvl w:val="0"/>
          <w:numId w:val="292"/>
        </w:numPr>
        <w:rPr/>
      </w:pPr>
      <w:bookmarkStart w:id="121" w:name="__RefHeading__9894_183117650048"/>
      <w:bookmarkStart w:id="122" w:name="_Toc178778203"/>
      <w:bookmarkEnd w:id="121"/>
      <w:r>
        <w:rPr/>
        <w:t>Documentazione</w:t>
      </w:r>
      <w:bookmarkEnd w:id="122"/>
    </w:p>
    <w:p>
      <w:pPr>
        <w:pStyle w:val="StandardWW"/>
        <w:widowControl w:val="false"/>
        <w:snapToGrid w:val="false"/>
        <w:spacing w:lineRule="auto" w:line="240"/>
        <w:rPr>
          <w:color w:val="000000"/>
        </w:rPr>
      </w:pPr>
      <w:r>
        <w:rPr>
          <w:color w:val="000000"/>
        </w:rPr>
      </w:r>
    </w:p>
    <w:p>
      <w:pPr>
        <w:pStyle w:val="NormaleCorpo"/>
        <w:rPr/>
      </w:pPr>
      <w:r>
        <w:rPr>
          <w:rFonts w:cs="Arial" w:ascii="Arial" w:hAnsi="Arial"/>
          <w:sz w:val="20"/>
          <w:szCs w:val="20"/>
        </w:rPr>
        <w:t xml:space="preserve">Di seguito, nella </w:t>
      </w:r>
      <w:r>
        <w:rPr>
          <w:rFonts w:cs="Arial" w:ascii="Arial" w:hAnsi="Arial"/>
          <w:sz w:val="20"/>
          <w:szCs w:val="20"/>
        </w:rPr>
        <w:fldChar w:fldCharType="begin"/>
      </w:r>
      <w:r>
        <w:rPr>
          <w:sz w:val="20"/>
          <w:szCs w:val="20"/>
          <w:rFonts w:cs="Arial" w:ascii="Arial" w:hAnsi="Arial"/>
        </w:rPr>
        <w:instrText xml:space="preserve"> REF _Ref171964179 \h </w:instrText>
      </w:r>
      <w:r>
        <w:rPr>
          <w:sz w:val="20"/>
          <w:szCs w:val="20"/>
          <w:rFonts w:cs="Arial" w:ascii="Arial" w:hAnsi="Arial"/>
        </w:rPr>
        <w:fldChar w:fldCharType="separate"/>
      </w:r>
      <w:r>
        <w:rPr>
          <w:sz w:val="20"/>
          <w:szCs w:val="20"/>
          <w:rFonts w:cs="Arial" w:ascii="Arial" w:hAnsi="Arial"/>
        </w:rPr>
        <w:t>Tabella 13.20</w:t>
      </w:r>
      <w:r>
        <w:rPr>
          <w:sz w:val="20"/>
          <w:szCs w:val="20"/>
          <w:rFonts w:cs="Arial" w:ascii="Arial" w:hAnsi="Arial"/>
        </w:rPr>
        <w:fldChar w:fldCharType="end"/>
      </w:r>
      <w:r>
        <w:rPr>
          <w:rFonts w:cs="Arial" w:ascii="Arial" w:hAnsi="Arial"/>
          <w:sz w:val="20"/>
          <w:szCs w:val="20"/>
        </w:rPr>
        <w:t>, vengono elencati i documenti pervenuti e concordati dai vari Enti e ritenuti significativi ai fini del presente piano d’azione.</w:t>
      </w:r>
    </w:p>
    <w:p>
      <w:pPr>
        <w:pStyle w:val="StandardWW"/>
        <w:spacing w:lineRule="auto" w:line="240"/>
        <w:rPr/>
      </w:pPr>
      <w:r>
        <w:rPr/>
      </w:r>
    </w:p>
    <w:p>
      <w:pPr>
        <w:pStyle w:val="FigureTabelle"/>
        <w:rPr/>
      </w:pPr>
      <w:bookmarkStart w:id="123" w:name="_Toc171964415"/>
      <w:bookmarkStart w:id="124" w:name="_Ref171964179"/>
      <w:r>
        <w:rPr>
          <w:rFonts w:cs="Arial" w:ascii="Arial" w:hAnsi="Arial"/>
          <w:szCs w:val="20"/>
        </w:rPr>
        <w:t>Tabella 13.20</w:t>
      </w:r>
      <w:bookmarkEnd w:id="124"/>
      <w:r>
        <w:rPr>
          <w:rFonts w:cs="Arial" w:ascii="Arial" w:hAnsi="Arial"/>
          <w:szCs w:val="20"/>
        </w:rPr>
        <w:t xml:space="preserve"> – Documenti pervenuti</w:t>
      </w:r>
      <w:bookmarkEnd w:id="123"/>
    </w:p>
    <w:tbl>
      <w:tblPr>
        <w:tblW w:w="9315" w:type="dxa"/>
        <w:jc w:val="left"/>
        <w:tblInd w:w="-58" w:type="dxa"/>
        <w:tblLayout w:type="fixed"/>
        <w:tblCellMar>
          <w:top w:w="57" w:type="dxa"/>
          <w:left w:w="57" w:type="dxa"/>
          <w:bottom w:w="57" w:type="dxa"/>
          <w:right w:w="57" w:type="dxa"/>
        </w:tblCellMar>
        <w:tblLook w:firstRow="0" w:noVBand="0" w:lastRow="0" w:firstColumn="0" w:lastColumn="0" w:noHBand="0" w:val="0000"/>
      </w:tblPr>
      <w:tblGrid>
        <w:gridCol w:w="2335"/>
        <w:gridCol w:w="6979"/>
      </w:tblGrid>
      <w:tr>
        <w:trPr/>
        <w:tc>
          <w:tcPr>
            <w:tcW w:w="2335" w:type="dxa"/>
            <w:tcBorders>
              <w:top w:val="single" w:sz="4" w:space="0" w:color="000000"/>
              <w:left w:val="single" w:sz="4" w:space="0" w:color="000000"/>
              <w:bottom w:val="single" w:sz="4" w:space="0" w:color="000000"/>
            </w:tcBorders>
          </w:tcPr>
          <w:p>
            <w:pPr>
              <w:pStyle w:val="StandardWW"/>
              <w:snapToGrid w:val="false"/>
              <w:spacing w:lineRule="auto" w:line="240"/>
              <w:jc w:val="left"/>
              <w:rPr/>
            </w:pPr>
            <w:r>
              <w:rPr>
                <w:b/>
                <w:bCs/>
              </w:rPr>
              <w:t>Ente</w:t>
            </w:r>
          </w:p>
        </w:tc>
        <w:tc>
          <w:tcPr>
            <w:tcW w:w="6979" w:type="dxa"/>
            <w:tcBorders>
              <w:top w:val="single" w:sz="4" w:space="0" w:color="000000"/>
              <w:left w:val="single" w:sz="4" w:space="0" w:color="000000"/>
              <w:bottom w:val="single" w:sz="4" w:space="0" w:color="000000"/>
              <w:right w:val="single" w:sz="4" w:space="0" w:color="000000"/>
            </w:tcBorders>
            <w:shd w:color="auto" w:fill="auto" w:val="clear"/>
          </w:tcPr>
          <w:p>
            <w:pPr>
              <w:pStyle w:val="StandardWW"/>
              <w:snapToGrid w:val="false"/>
              <w:spacing w:lineRule="auto" w:line="240"/>
              <w:jc w:val="left"/>
              <w:rPr/>
            </w:pPr>
            <w:r>
              <w:rPr>
                <w:b/>
                <w:bCs/>
              </w:rPr>
              <w:t>Documento</w:t>
            </w:r>
          </w:p>
        </w:tc>
      </w:tr>
      <w:tr>
        <w:trPr/>
        <w:tc>
          <w:tcPr>
            <w:tcW w:w="2335" w:type="dxa"/>
            <w:tcBorders>
              <w:left w:val="single" w:sz="4" w:space="0" w:color="000000"/>
              <w:bottom w:val="single" w:sz="4" w:space="0" w:color="000000"/>
            </w:tcBorders>
          </w:tcPr>
          <w:p>
            <w:pPr>
              <w:pStyle w:val="StandardWW"/>
              <w:snapToGrid w:val="false"/>
              <w:spacing w:lineRule="auto" w:line="240"/>
              <w:jc w:val="left"/>
              <w:rPr/>
            </w:pPr>
            <w:r>
              <w:rPr/>
              <w:t>RFI</w:t>
            </w:r>
          </w:p>
        </w:tc>
        <w:tc>
          <w:tcPr>
            <w:tcW w:w="6979" w:type="dxa"/>
            <w:tcBorders>
              <w:left w:val="single" w:sz="4" w:space="0" w:color="000000"/>
              <w:bottom w:val="single" w:sz="4" w:space="0" w:color="000000"/>
              <w:right w:val="single" w:sz="4" w:space="0" w:color="000000"/>
            </w:tcBorders>
          </w:tcPr>
          <w:p>
            <w:pPr>
              <w:pStyle w:val="StandardWW"/>
              <w:snapToGrid w:val="false"/>
              <w:spacing w:lineRule="auto" w:line="240"/>
              <w:jc w:val="left"/>
              <w:rPr/>
            </w:pPr>
            <w:r>
              <w:rPr/>
              <w:t>Piano di azione ai sensi del D.Lgs. 194/2005 per i tratti ferroviari inclusi negli agglomerati con più di 100.000 abitanti</w:t>
            </w:r>
          </w:p>
        </w:tc>
      </w:tr>
      <w:tr>
        <w:trPr/>
        <w:tc>
          <w:tcPr>
            <w:tcW w:w="2335" w:type="dxa"/>
            <w:tcBorders>
              <w:left w:val="single" w:sz="4" w:space="0" w:color="000000"/>
              <w:bottom w:val="single" w:sz="4" w:space="0" w:color="000000"/>
            </w:tcBorders>
          </w:tcPr>
          <w:p>
            <w:pPr>
              <w:pStyle w:val="StandardWW"/>
              <w:snapToGrid w:val="false"/>
              <w:spacing w:lineRule="auto" w:line="240"/>
              <w:jc w:val="left"/>
              <w:rPr/>
            </w:pPr>
            <w:r>
              <w:rPr/>
              <w:t>ANAS</w:t>
            </w:r>
          </w:p>
        </w:tc>
        <w:tc>
          <w:tcPr>
            <w:tcW w:w="6979" w:type="dxa"/>
            <w:tcBorders>
              <w:left w:val="single" w:sz="4" w:space="0" w:color="000000"/>
              <w:bottom w:val="single" w:sz="4" w:space="0" w:color="000000"/>
              <w:right w:val="single" w:sz="4" w:space="0" w:color="000000"/>
            </w:tcBorders>
          </w:tcPr>
          <w:p>
            <w:pPr>
              <w:pStyle w:val="StandardWW"/>
              <w:snapToGrid w:val="false"/>
              <w:spacing w:lineRule="auto" w:line="240"/>
              <w:jc w:val="left"/>
              <w:rPr/>
            </w:pPr>
            <w:r>
              <w:rPr/>
              <w:t>Piano di contenimento e abbattimento del rumore ai sensi del D.M. 29/11/2000</w:t>
            </w:r>
          </w:p>
        </w:tc>
      </w:tr>
      <w:tr>
        <w:trPr/>
        <w:tc>
          <w:tcPr>
            <w:tcW w:w="2335" w:type="dxa"/>
            <w:tcBorders>
              <w:left w:val="single" w:sz="4" w:space="0" w:color="000000"/>
              <w:bottom w:val="single" w:sz="4" w:space="0" w:color="000000"/>
            </w:tcBorders>
          </w:tcPr>
          <w:p>
            <w:pPr>
              <w:pStyle w:val="StandardWW"/>
              <w:snapToGrid w:val="false"/>
              <w:spacing w:lineRule="auto" w:line="240"/>
              <w:jc w:val="left"/>
              <w:rPr/>
            </w:pPr>
            <w:r>
              <w:rPr/>
              <w:t>ARPAS</w:t>
            </w:r>
          </w:p>
        </w:tc>
        <w:tc>
          <w:tcPr>
            <w:tcW w:w="6979" w:type="dxa"/>
            <w:tcBorders>
              <w:left w:val="single" w:sz="4" w:space="0" w:color="000000"/>
              <w:bottom w:val="single" w:sz="4" w:space="0" w:color="000000"/>
              <w:right w:val="single" w:sz="4" w:space="0" w:color="000000"/>
            </w:tcBorders>
          </w:tcPr>
          <w:p>
            <w:pPr>
              <w:pStyle w:val="StandardWW"/>
              <w:snapToGrid w:val="false"/>
              <w:spacing w:lineRule="auto" w:line="240"/>
              <w:jc w:val="left"/>
              <w:rPr/>
            </w:pPr>
            <w:r>
              <w:rPr/>
              <w:t>Piano di Azione per l'Agglomerato di Cagliari – relazione descrittiva sulle metodologie per l'individuazione delle aree critiche</w:t>
            </w:r>
          </w:p>
        </w:tc>
      </w:tr>
    </w:tbl>
    <w:p>
      <w:pPr>
        <w:pStyle w:val="StandardWW"/>
        <w:spacing w:lineRule="auto" w:line="240"/>
        <w:rPr/>
      </w:pPr>
      <w:r>
        <w:rPr/>
      </w:r>
    </w:p>
    <w:p>
      <w:pPr>
        <w:pStyle w:val="StandardWW"/>
        <w:spacing w:lineRule="auto" w:line="240"/>
        <w:rPr>
          <w:b/>
        </w:rPr>
      </w:pPr>
      <w:r>
        <w:rPr>
          <w:b/>
        </w:rPr>
      </w:r>
    </w:p>
    <w:p>
      <w:pPr>
        <w:pStyle w:val="Heading1"/>
        <w:numPr>
          <w:ilvl w:val="0"/>
          <w:numId w:val="293"/>
        </w:numPr>
        <w:rPr/>
      </w:pPr>
      <w:bookmarkStart w:id="125" w:name="_Toc178778204"/>
      <w:r>
        <w:rPr/>
        <w:t>ALLEGATI:</w:t>
      </w:r>
      <w:bookmarkEnd w:id="125"/>
    </w:p>
    <w:p>
      <w:pPr>
        <w:pStyle w:val="Standard"/>
        <w:rPr/>
      </w:pPr>
      <w:r>
        <w:rPr>
          <w:rFonts w:cs="Arial" w:ascii="Arial" w:hAnsi="Arial"/>
          <w:sz w:val="20"/>
          <w:szCs w:val="18"/>
        </w:rPr>
        <w:t>Le relative elaborazione cartografiche sono riportate in allegato separato</w:t>
      </w:r>
    </w:p>
    <w:p>
      <w:pPr>
        <w:pStyle w:val="Standard"/>
        <w:widowControl/>
        <w:numPr>
          <w:ilvl w:val="0"/>
          <w:numId w:val="20"/>
        </w:numPr>
        <w:spacing w:lineRule="atLeast" w:line="300" w:before="120" w:after="120"/>
        <w:jc w:val="both"/>
        <w:textAlignment w:val="auto"/>
        <w:rPr/>
      </w:pPr>
      <w:r>
        <w:rPr>
          <w:rFonts w:cs="Arial" w:ascii="Arial" w:hAnsi="Arial"/>
          <w:sz w:val="20"/>
          <w:szCs w:val="18"/>
        </w:rPr>
        <w:t>Allegato 1 - cartografia aree critiche residenziali diurne e notturne suddivisa per comune</w:t>
      </w:r>
    </w:p>
    <w:p>
      <w:pPr>
        <w:pStyle w:val="Standard"/>
        <w:widowControl/>
        <w:numPr>
          <w:ilvl w:val="0"/>
          <w:numId w:val="294"/>
        </w:numPr>
        <w:spacing w:lineRule="atLeast" w:line="300" w:before="120" w:after="120"/>
        <w:jc w:val="both"/>
        <w:textAlignment w:val="auto"/>
        <w:rPr/>
      </w:pPr>
      <w:r>
        <w:rPr>
          <w:rFonts w:cs="Arial" w:ascii="Arial" w:hAnsi="Arial"/>
          <w:sz w:val="20"/>
          <w:szCs w:val="18"/>
        </w:rPr>
        <w:t>Allegato 2 – Cartografia edifici sensibili e criticità periodo diurno/notturno</w:t>
      </w:r>
    </w:p>
    <w:p>
      <w:pPr>
        <w:pStyle w:val="StandardWW"/>
        <w:spacing w:lineRule="auto" w:line="240"/>
        <w:rPr/>
      </w:pPr>
      <w:r>
        <w:rPr/>
      </w:r>
    </w:p>
    <w:p>
      <w:pPr>
        <w:pStyle w:val="Heading1"/>
        <w:numPr>
          <w:ilvl w:val="0"/>
          <w:numId w:val="295"/>
        </w:numPr>
        <w:rPr/>
      </w:pPr>
      <w:bookmarkStart w:id="126" w:name="_Toc178778205"/>
      <w:r>
        <w:rPr/>
        <w:t>Riferimenti</w:t>
      </w:r>
      <w:bookmarkEnd w:id="126"/>
    </w:p>
    <w:p>
      <w:pPr>
        <w:pStyle w:val="Bibliography"/>
        <w:rPr/>
      </w:pPr>
      <w:r>
        <w:rPr>
          <w:rFonts w:cs="Arial" w:ascii="Arial" w:hAnsi="Arial"/>
          <w:sz w:val="20"/>
          <w:szCs w:val="20"/>
        </w:rPr>
        <w:t>[1]</w:t>
        <w:tab/>
      </w:r>
      <w:r>
        <w:rPr>
          <w:rFonts w:cs="Arial" w:ascii="Arial" w:hAnsi="Arial"/>
          <w:i/>
          <w:iCs/>
          <w:sz w:val="20"/>
          <w:szCs w:val="20"/>
        </w:rPr>
        <w:t>Directive 2002/49/EC on the assessment and management of environmental noise</w:t>
      </w:r>
      <w:r>
        <w:rPr>
          <w:rFonts w:cs="Arial" w:ascii="Arial" w:hAnsi="Arial"/>
          <w:sz w:val="20"/>
          <w:szCs w:val="20"/>
        </w:rPr>
        <w:t>, vol. Official Journal of the European Communities. 2002. [Online]. Disponibile su: https://eur-lex.europa.eu/legal-content/EN/TXT/HTML/?uri=LEGISSUM:l21180&amp;from=IT</w:t>
      </w:r>
    </w:p>
    <w:p>
      <w:pPr>
        <w:pStyle w:val="Bibliography"/>
        <w:rPr/>
      </w:pPr>
      <w:r>
        <w:rPr>
          <w:rFonts w:cs="Arial" w:ascii="Arial" w:hAnsi="Arial"/>
          <w:sz w:val="20"/>
          <w:szCs w:val="20"/>
        </w:rPr>
        <w:t>[2]</w:t>
        <w:tab/>
        <w:t>UNI, «UNI 11252_2007 Acustica - Procedure di conversione dei valori di LAeq diurno e notturno e di LVA nei descrittori Lden e Lnight». UNI - Ente Italiano di Normazione, 8 settembre 2007.</w:t>
      </w:r>
    </w:p>
    <w:p>
      <w:pPr>
        <w:pStyle w:val="Bibliography"/>
        <w:rPr/>
      </w:pPr>
      <w:r>
        <w:rPr>
          <w:rFonts w:cs="Arial" w:ascii="Arial" w:hAnsi="Arial"/>
          <w:sz w:val="20"/>
          <w:szCs w:val="20"/>
        </w:rPr>
        <w:t>[3]</w:t>
        <w:tab/>
        <w:t>UNI, «UNI/TR 11327_2009 Acustica - Criteri per la predisposizione dei piani d’azione destinati a gestire i problemi di inquinamento acustico ed i relativi effetti». UNI - Ente Italiano di Normazione, 11 giugno 2009.</w:t>
      </w:r>
    </w:p>
    <w:p>
      <w:pPr>
        <w:pStyle w:val="Standard"/>
        <w:rPr/>
      </w:pPr>
      <w:r>
        <w:rPr/>
      </w:r>
    </w:p>
    <w:sectPr>
      <w:headerReference w:type="default" r:id="rId32"/>
      <w:headerReference w:type="first" r:id="rId33"/>
      <w:footerReference w:type="default" r:id="rId34"/>
      <w:footerReference w:type="first" r:id="rId35"/>
      <w:type w:val="nextPage"/>
      <w:pgSz w:w="11906" w:h="16838"/>
      <w:pgMar w:left="1134" w:right="1134" w:gutter="0" w:header="708" w:top="1417" w:footer="708" w:bottom="1134"/>
      <w:pgNumType w:fmt="decimal"/>
      <w:formProt w:val="false"/>
      <w:titlePg/>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1"/>
    <w:family w:val="swiss"/>
    <w:pitch w:val="default"/>
  </w:font>
  <w:font w:name="Calibri">
    <w:charset w:val="01"/>
    <w:family w:val="swiss"/>
    <w:pitch w:val="default"/>
  </w:font>
  <w:font w:name="Arial">
    <w:charset w:val="01"/>
    <w:family w:val="swiss"/>
    <w:pitch w:val="default"/>
  </w:font>
  <w:font w:name="Symbol">
    <w:charset w:val="01"/>
    <w:family w:val="swiss"/>
    <w:pitch w:val="default"/>
  </w:font>
  <w:font w:name="Courier New">
    <w:charset w:val="01"/>
    <w:family w:val="swiss"/>
    <w:pitch w:val="default"/>
  </w:font>
  <w:font w:name="Wingdings">
    <w:charset w:val="01"/>
    <w:family w:val="swiss"/>
    <w:pitch w:val="default"/>
  </w:font>
  <w:font w:name="Antigoni">
    <w:charset w:val="01"/>
    <w:family w:val="swiss"/>
    <w:pitch w:val="default"/>
  </w:font>
  <w:font w:name="Tahoma">
    <w:charset w:val="01"/>
    <w:family w:val="swiss"/>
    <w:pitch w:val="default"/>
  </w:font>
  <w:font w:name="OpenSymbol">
    <w:altName w:val="Arial Unicode MS"/>
    <w:charset w:val="01"/>
    <w:family w:val="swiss"/>
    <w:pitch w:val="default"/>
  </w:font>
  <w:font w:name="Futura Std Book">
    <w:charset w:val="01"/>
    <w:family w:val="swiss"/>
    <w:pitch w:val="default"/>
  </w:font>
  <w:font w:name="Univers">
    <w:altName w:val=" Arial"/>
    <w:charset w:val="01"/>
    <w:family w:val="swiss"/>
    <w:pitch w:val="default"/>
  </w:font>
  <w:font w:name="Cambria">
    <w:charset w:val="01"/>
    <w:family w:val="swiss"/>
    <w:pitch w:val="default"/>
  </w:font>
  <w:font w:name="CG Times (W1)">
    <w:charset w:val="01"/>
    <w:family w:val="swiss"/>
    <w:pitch w:val="default"/>
  </w:font>
  <w:font w:name="Liberation Mono">
    <w:altName w:val="Courier New"/>
    <w:charset w:val="01"/>
    <w:family w:val="swiss"/>
    <w:pitch w:val="default"/>
  </w:font>
  <w:font w:name="Arial MT">
    <w:charset w:val="01"/>
    <w:family w:val="swiss"/>
    <w:pitch w:val="default"/>
  </w:font>
  <w:font w:name="Futura Lt BT">
    <w:charset w:val="01"/>
    <w:family w:val="swiss"/>
    <w:pitch w:val="default"/>
  </w:font>
  <w:font w:name="Book Antiqua">
    <w:charset w:val="01"/>
    <w:family w:val="swiss"/>
    <w:pitch w:val="default"/>
  </w:font>
  <w:font w:name="Arial Unicode MS">
    <w:charset w:val="01"/>
    <w:family w:val="swiss"/>
    <w:pitch w:val="default"/>
  </w:font>
  <w:font w:name="Arial Black">
    <w:charset w:val="01"/>
    <w:family w:val="swiss"/>
    <w:pitch w:val="default"/>
  </w:font>
  <w:font w:name="Liberation Sans">
    <w:altName w:val="Arial"/>
    <w:charset w:val="01"/>
    <w:family w:val="swiss"/>
    <w:pitch w:val="default"/>
  </w:font>
  <w:font w:name="Calibri">
    <w:charset w:val="00"/>
    <w:family w:val="swiss"/>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 w:name="Times New Roman">
    <w:charset w:val="01"/>
    <w:family w:val="roman"/>
    <w:pitch w:val="variable"/>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Footer"/>
      <w:rPr/>
    </w:pPr>
    <w:r>
      <w:rPr/>
    </w:r>
  </w:p>
  <w:tbl>
    <w:tblPr>
      <w:tblW w:w="9354"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2331"/>
      <w:gridCol w:w="3504"/>
      <w:gridCol w:w="3519"/>
    </w:tblGrid>
    <w:tr>
      <w:trPr>
        <w:trHeight w:val="225" w:hRule="atLeast"/>
      </w:trPr>
      <w:tc>
        <w:tcPr>
          <w:tcW w:w="2331" w:type="dxa"/>
          <w:vMerge w:val="restart"/>
          <w:tcBorders>
            <w:top w:val="single" w:sz="6" w:space="0" w:color="000000"/>
            <w:left w:val="single" w:sz="4" w:space="0" w:color="000000"/>
            <w:bottom w:val="single" w:sz="6" w:space="0" w:color="000000"/>
            <w:right w:val="single" w:sz="4" w:space="0" w:color="000000"/>
          </w:tcBorders>
        </w:tcPr>
        <w:p>
          <w:pPr>
            <w:pStyle w:val="TableParagraph"/>
            <w:spacing w:before="117" w:after="0"/>
            <w:ind w:left="535"/>
            <w:rPr/>
          </w:pPr>
          <w:r>
            <w:rPr>
              <w:rFonts w:ascii="Arial" w:hAnsi="Arial"/>
              <w:b/>
              <w:spacing w:val="-2"/>
              <w:sz w:val="20"/>
              <w:lang w:val="en-US"/>
            </w:rPr>
            <w:t>ELABORATO</w:t>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9" w:right="14"/>
            <w:jc w:val="center"/>
            <w:rPr/>
          </w:pPr>
          <w:r>
            <w:rPr>
              <w:rFonts w:ascii="Arial" w:hAnsi="Arial"/>
              <w:i/>
              <w:spacing w:val="-2"/>
              <w:sz w:val="20"/>
              <w:lang w:val="en-US"/>
            </w:rPr>
            <w:t>Codice</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2" w:right="16"/>
            <w:jc w:val="center"/>
            <w:rPr/>
          </w:pPr>
          <w:r>
            <w:rPr>
              <w:rFonts w:ascii="Arial" w:hAnsi="Arial"/>
              <w:i/>
              <w:spacing w:val="-4"/>
              <w:sz w:val="20"/>
              <w:lang w:val="en-US"/>
            </w:rPr>
            <w:t>Data</w:t>
          </w:r>
        </w:p>
      </w:tc>
    </w:tr>
    <w:tr>
      <w:trPr>
        <w:trHeight w:val="225" w:hRule="atLeast"/>
      </w:trPr>
      <w:tc>
        <w:tcPr>
          <w:tcW w:w="2331" w:type="dxa"/>
          <w:vMerge w:val="continue"/>
          <w:tcBorders>
            <w:top w:val="single" w:sz="6" w:space="0" w:color="000000"/>
            <w:left w:val="single" w:sz="4" w:space="0" w:color="000000"/>
            <w:bottom w:val="single" w:sz="6" w:space="0" w:color="000000"/>
            <w:right w:val="single" w:sz="4" w:space="0" w:color="000000"/>
          </w:tcBorders>
        </w:tcPr>
        <w:p>
          <w:pPr>
            <w:pStyle w:val="Normal"/>
            <w:rPr/>
          </w:pPr>
          <w:r>
            <w:rPr/>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4" w:right="5"/>
            <w:jc w:val="center"/>
            <w:rPr/>
          </w:pPr>
          <w:r>
            <w:rPr>
              <w:rFonts w:ascii="Arial" w:hAnsi="Arial"/>
              <w:b/>
              <w:spacing w:val="-2"/>
              <w:sz w:val="20"/>
              <w:lang w:val="en-US"/>
            </w:rPr>
            <w:t>AP_2023_AG_IT_00_00013</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6" w:right="4"/>
            <w:jc w:val="center"/>
            <w:rPr/>
          </w:pPr>
          <w:r>
            <w:rPr>
              <w:rFonts w:ascii="Arial" w:hAnsi="Arial"/>
              <w:b/>
              <w:spacing w:val="-2"/>
              <w:sz w:val="20"/>
              <w:lang w:val="en-US"/>
            </w:rPr>
            <w:t>10/12/2024</w:t>
          </w:r>
        </w:p>
      </w:tc>
    </w:tr>
  </w:tbl>
  <w:p>
    <w:pPr>
      <w:pStyle w:val="Footer"/>
      <w:jc w:val="center"/>
      <w:rPr/>
    </w:pPr>
    <w:r>
      <w:rPr/>
      <w:t xml:space="preserve">Pagina </w:t>
    </w:r>
    <w:r>
      <w:rPr/>
      <w:fldChar w:fldCharType="begin"/>
    </w:r>
    <w:r>
      <w:rPr/>
      <w:instrText xml:space="preserve"> PAGE </w:instrText>
    </w:r>
    <w:r>
      <w:rPr/>
      <w:fldChar w:fldCharType="separate"/>
    </w:r>
    <w:r>
      <w:rPr/>
      <w:t>2</w:t>
    </w:r>
    <w:r>
      <w:rPr/>
      <w:fldChar w:fldCharType="end"/>
    </w:r>
    <w:r>
      <w:rPr/>
      <w:t xml:space="preserve"> di </w:t>
    </w:r>
    <w:r>
      <w:rPr/>
      <w:fldChar w:fldCharType="begin"/>
    </w:r>
    <w:r>
      <w:rPr/>
      <w:instrText xml:space="preserve"> NUMPAGES </w:instrText>
    </w:r>
    <w:r>
      <w:rPr/>
      <w:fldChar w:fldCharType="separate"/>
    </w:r>
    <w:r>
      <w:rPr/>
      <w:t>94</w:t>
    </w:r>
    <w:r>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tbl>
    <w:tblPr>
      <w:tblW w:w="9354"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2331"/>
      <w:gridCol w:w="3504"/>
      <w:gridCol w:w="3519"/>
    </w:tblGrid>
    <w:tr>
      <w:trPr>
        <w:trHeight w:val="225" w:hRule="atLeast"/>
      </w:trPr>
      <w:tc>
        <w:tcPr>
          <w:tcW w:w="2331" w:type="dxa"/>
          <w:vMerge w:val="restart"/>
          <w:tcBorders>
            <w:top w:val="single" w:sz="6" w:space="0" w:color="000000"/>
            <w:left w:val="single" w:sz="4" w:space="0" w:color="000000"/>
            <w:bottom w:val="single" w:sz="6" w:space="0" w:color="000000"/>
            <w:right w:val="single" w:sz="4" w:space="0" w:color="000000"/>
          </w:tcBorders>
        </w:tcPr>
        <w:p>
          <w:pPr>
            <w:pStyle w:val="TableParagraph"/>
            <w:spacing w:before="117" w:after="0"/>
            <w:ind w:left="535"/>
            <w:rPr/>
          </w:pPr>
          <w:r>
            <w:rPr>
              <w:rFonts w:ascii="Arial" w:hAnsi="Arial"/>
              <w:b/>
              <w:spacing w:val="-2"/>
              <w:sz w:val="20"/>
              <w:lang w:val="en-US"/>
            </w:rPr>
            <w:t>ELABORATO</w:t>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9" w:right="14"/>
            <w:jc w:val="center"/>
            <w:rPr/>
          </w:pPr>
          <w:r>
            <w:rPr>
              <w:rFonts w:ascii="Arial" w:hAnsi="Arial"/>
              <w:i/>
              <w:spacing w:val="-2"/>
              <w:sz w:val="20"/>
              <w:lang w:val="en-US"/>
            </w:rPr>
            <w:t>Codice</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2" w:right="16"/>
            <w:jc w:val="center"/>
            <w:rPr/>
          </w:pPr>
          <w:r>
            <w:rPr>
              <w:rFonts w:ascii="Arial" w:hAnsi="Arial"/>
              <w:i/>
              <w:spacing w:val="-4"/>
              <w:sz w:val="20"/>
              <w:lang w:val="en-US"/>
            </w:rPr>
            <w:t>Data</w:t>
          </w:r>
        </w:p>
      </w:tc>
    </w:tr>
    <w:tr>
      <w:trPr>
        <w:trHeight w:val="225" w:hRule="atLeast"/>
      </w:trPr>
      <w:tc>
        <w:tcPr>
          <w:tcW w:w="2331" w:type="dxa"/>
          <w:vMerge w:val="continue"/>
          <w:tcBorders>
            <w:top w:val="single" w:sz="6" w:space="0" w:color="000000"/>
            <w:left w:val="single" w:sz="4" w:space="0" w:color="000000"/>
            <w:bottom w:val="single" w:sz="6" w:space="0" w:color="000000"/>
            <w:right w:val="single" w:sz="4" w:space="0" w:color="000000"/>
          </w:tcBorders>
        </w:tcPr>
        <w:p>
          <w:pPr>
            <w:pStyle w:val="Normal"/>
            <w:rPr/>
          </w:pPr>
          <w:r>
            <w:rPr/>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4" w:right="5"/>
            <w:jc w:val="center"/>
            <w:rPr/>
          </w:pPr>
          <w:r>
            <w:rPr>
              <w:rFonts w:ascii="Arial" w:hAnsi="Arial"/>
              <w:b/>
              <w:spacing w:val="-2"/>
              <w:sz w:val="20"/>
              <w:lang w:val="en-US"/>
            </w:rPr>
            <w:t>AP_2023_AG_IT_00_00013</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6" w:right="4"/>
            <w:jc w:val="center"/>
            <w:rPr/>
          </w:pPr>
          <w:r>
            <w:rPr>
              <w:rFonts w:ascii="Arial" w:hAnsi="Arial"/>
              <w:b/>
              <w:spacing w:val="-2"/>
              <w:sz w:val="20"/>
              <w:lang w:val="en-US"/>
            </w:rPr>
            <w:t>10/12/2024</w:t>
          </w:r>
        </w:p>
      </w:tc>
    </w:tr>
  </w:tbl>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Footer"/>
      <w:rPr/>
    </w:pPr>
    <w:r>
      <w:rPr/>
    </w:r>
  </w:p>
  <w:tbl>
    <w:tblPr>
      <w:tblW w:w="9354"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2331"/>
      <w:gridCol w:w="3504"/>
      <w:gridCol w:w="3519"/>
    </w:tblGrid>
    <w:tr>
      <w:trPr>
        <w:trHeight w:val="225" w:hRule="atLeast"/>
      </w:trPr>
      <w:tc>
        <w:tcPr>
          <w:tcW w:w="2331" w:type="dxa"/>
          <w:vMerge w:val="restart"/>
          <w:tcBorders>
            <w:top w:val="single" w:sz="6" w:space="0" w:color="000000"/>
            <w:left w:val="single" w:sz="4" w:space="0" w:color="000000"/>
            <w:bottom w:val="single" w:sz="6" w:space="0" w:color="000000"/>
            <w:right w:val="single" w:sz="4" w:space="0" w:color="000000"/>
          </w:tcBorders>
        </w:tcPr>
        <w:p>
          <w:pPr>
            <w:pStyle w:val="TableParagraph"/>
            <w:spacing w:before="117" w:after="0"/>
            <w:ind w:left="535"/>
            <w:rPr/>
          </w:pPr>
          <w:r>
            <w:rPr>
              <w:rFonts w:ascii="Arial" w:hAnsi="Arial"/>
              <w:b/>
              <w:spacing w:val="-2"/>
              <w:sz w:val="20"/>
              <w:lang w:val="en-US"/>
            </w:rPr>
            <w:t>ELABORATO</w:t>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9" w:right="14"/>
            <w:jc w:val="center"/>
            <w:rPr/>
          </w:pPr>
          <w:r>
            <w:rPr>
              <w:rFonts w:ascii="Arial" w:hAnsi="Arial"/>
              <w:i/>
              <w:spacing w:val="-2"/>
              <w:sz w:val="20"/>
              <w:lang w:val="en-US"/>
            </w:rPr>
            <w:t>Codice</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2" w:right="16"/>
            <w:jc w:val="center"/>
            <w:rPr/>
          </w:pPr>
          <w:r>
            <w:rPr>
              <w:rFonts w:ascii="Arial" w:hAnsi="Arial"/>
              <w:i/>
              <w:spacing w:val="-4"/>
              <w:sz w:val="20"/>
              <w:lang w:val="en-US"/>
            </w:rPr>
            <w:t>Data</w:t>
          </w:r>
        </w:p>
      </w:tc>
    </w:tr>
    <w:tr>
      <w:trPr>
        <w:trHeight w:val="225" w:hRule="atLeast"/>
      </w:trPr>
      <w:tc>
        <w:tcPr>
          <w:tcW w:w="2331" w:type="dxa"/>
          <w:vMerge w:val="continue"/>
          <w:tcBorders>
            <w:top w:val="single" w:sz="6" w:space="0" w:color="000000"/>
            <w:left w:val="single" w:sz="4" w:space="0" w:color="000000"/>
            <w:bottom w:val="single" w:sz="6" w:space="0" w:color="000000"/>
            <w:right w:val="single" w:sz="4" w:space="0" w:color="000000"/>
          </w:tcBorders>
        </w:tcPr>
        <w:p>
          <w:pPr>
            <w:pStyle w:val="Normal"/>
            <w:rPr/>
          </w:pPr>
          <w:r>
            <w:rPr/>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4" w:right="5"/>
            <w:jc w:val="center"/>
            <w:rPr/>
          </w:pPr>
          <w:r>
            <w:rPr>
              <w:rFonts w:ascii="Arial" w:hAnsi="Arial"/>
              <w:b/>
              <w:spacing w:val="-2"/>
              <w:sz w:val="20"/>
              <w:lang w:val="en-US"/>
            </w:rPr>
            <w:t>AP_2023_AG_IT_00_00013</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6" w:right="4"/>
            <w:jc w:val="center"/>
            <w:rPr/>
          </w:pPr>
          <w:r>
            <w:rPr>
              <w:rFonts w:ascii="Arial" w:hAnsi="Arial"/>
              <w:b/>
              <w:spacing w:val="-2"/>
              <w:sz w:val="20"/>
              <w:lang w:val="en-US"/>
            </w:rPr>
            <w:t>10/12/2024</w:t>
          </w:r>
        </w:p>
      </w:tc>
    </w:tr>
  </w:tbl>
  <w:p>
    <w:pPr>
      <w:pStyle w:val="Footer"/>
      <w:jc w:val="center"/>
      <w:rPr/>
    </w:pPr>
    <w:r>
      <w:rPr/>
      <w:t xml:space="preserve">Pagina </w:t>
    </w:r>
    <w:r>
      <w:rPr/>
      <w:fldChar w:fldCharType="begin"/>
    </w:r>
    <w:r>
      <w:rPr/>
      <w:instrText xml:space="preserve"> PAGE </w:instrText>
    </w:r>
    <w:r>
      <w:rPr/>
      <w:fldChar w:fldCharType="separate"/>
    </w:r>
    <w:r>
      <w:rPr/>
      <w:t>87</w:t>
    </w:r>
    <w:r>
      <w:rPr/>
      <w:fldChar w:fldCharType="end"/>
    </w:r>
    <w:r>
      <w:rPr/>
      <w:t xml:space="preserve"> di </w:t>
    </w:r>
    <w:r>
      <w:rPr/>
      <w:fldChar w:fldCharType="begin"/>
    </w:r>
    <w:r>
      <w:rPr/>
      <w:instrText xml:space="preserve"> NUMPAGES </w:instrText>
    </w:r>
    <w:r>
      <w:rPr/>
      <w:fldChar w:fldCharType="separate"/>
    </w:r>
    <w:r>
      <w:rPr/>
      <w:t>94</w:t>
    </w:r>
    <w:r>
      <w:rPr/>
      <w:fldChar w:fldCharType="end"/>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tbl>
    <w:tblPr>
      <w:tblW w:w="9354"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2331"/>
      <w:gridCol w:w="3504"/>
      <w:gridCol w:w="3519"/>
    </w:tblGrid>
    <w:tr>
      <w:trPr>
        <w:trHeight w:val="225" w:hRule="atLeast"/>
      </w:trPr>
      <w:tc>
        <w:tcPr>
          <w:tcW w:w="2331" w:type="dxa"/>
          <w:vMerge w:val="restart"/>
          <w:tcBorders>
            <w:top w:val="single" w:sz="6" w:space="0" w:color="000000"/>
            <w:left w:val="single" w:sz="4" w:space="0" w:color="000000"/>
            <w:bottom w:val="single" w:sz="6" w:space="0" w:color="000000"/>
            <w:right w:val="single" w:sz="4" w:space="0" w:color="000000"/>
          </w:tcBorders>
        </w:tcPr>
        <w:p>
          <w:pPr>
            <w:pStyle w:val="TableParagraph"/>
            <w:spacing w:before="117" w:after="0"/>
            <w:ind w:left="535"/>
            <w:rPr/>
          </w:pPr>
          <w:r>
            <w:rPr>
              <w:rFonts w:ascii="Arial" w:hAnsi="Arial"/>
              <w:b/>
              <w:spacing w:val="-2"/>
              <w:sz w:val="20"/>
              <w:lang w:val="en-US"/>
            </w:rPr>
            <w:t>ELABORATO</w:t>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9" w:right="14"/>
            <w:jc w:val="center"/>
            <w:rPr/>
          </w:pPr>
          <w:r>
            <w:rPr>
              <w:rFonts w:ascii="Arial" w:hAnsi="Arial"/>
              <w:i/>
              <w:spacing w:val="-2"/>
              <w:sz w:val="20"/>
              <w:lang w:val="en-US"/>
            </w:rPr>
            <w:t>Codice</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2" w:right="16"/>
            <w:jc w:val="center"/>
            <w:rPr/>
          </w:pPr>
          <w:r>
            <w:rPr>
              <w:rFonts w:ascii="Arial" w:hAnsi="Arial"/>
              <w:i/>
              <w:spacing w:val="-4"/>
              <w:sz w:val="20"/>
              <w:lang w:val="en-US"/>
            </w:rPr>
            <w:t>Data</w:t>
          </w:r>
        </w:p>
      </w:tc>
    </w:tr>
    <w:tr>
      <w:trPr>
        <w:trHeight w:val="225" w:hRule="atLeast"/>
      </w:trPr>
      <w:tc>
        <w:tcPr>
          <w:tcW w:w="2331" w:type="dxa"/>
          <w:vMerge w:val="continue"/>
          <w:tcBorders>
            <w:top w:val="single" w:sz="6" w:space="0" w:color="000000"/>
            <w:left w:val="single" w:sz="4" w:space="0" w:color="000000"/>
            <w:bottom w:val="single" w:sz="6" w:space="0" w:color="000000"/>
            <w:right w:val="single" w:sz="4" w:space="0" w:color="000000"/>
          </w:tcBorders>
        </w:tcPr>
        <w:p>
          <w:pPr>
            <w:pStyle w:val="Normal"/>
            <w:rPr/>
          </w:pPr>
          <w:r>
            <w:rPr/>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4" w:right="5"/>
            <w:jc w:val="center"/>
            <w:rPr/>
          </w:pPr>
          <w:r>
            <w:rPr>
              <w:rFonts w:ascii="Arial" w:hAnsi="Arial"/>
              <w:b/>
              <w:spacing w:val="-2"/>
              <w:sz w:val="20"/>
              <w:lang w:val="en-US"/>
            </w:rPr>
            <w:t>AP_2023_AG_IT_00_00013</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6" w:right="4"/>
            <w:jc w:val="center"/>
            <w:rPr/>
          </w:pPr>
          <w:r>
            <w:rPr>
              <w:rFonts w:ascii="Arial" w:hAnsi="Arial"/>
              <w:b/>
              <w:spacing w:val="-2"/>
              <w:sz w:val="20"/>
              <w:lang w:val="en-US"/>
            </w:rPr>
            <w:t>10/12/2024</w:t>
          </w:r>
        </w:p>
      </w:tc>
    </w:tr>
  </w:tbl>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Footer"/>
      <w:rPr/>
    </w:pPr>
    <w:r>
      <w:rPr/>
    </w:r>
  </w:p>
  <w:tbl>
    <w:tblPr>
      <w:tblW w:w="9354"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2331"/>
      <w:gridCol w:w="3504"/>
      <w:gridCol w:w="3519"/>
    </w:tblGrid>
    <w:tr>
      <w:trPr>
        <w:trHeight w:val="225" w:hRule="atLeast"/>
      </w:trPr>
      <w:tc>
        <w:tcPr>
          <w:tcW w:w="2331" w:type="dxa"/>
          <w:vMerge w:val="restart"/>
          <w:tcBorders>
            <w:top w:val="single" w:sz="6" w:space="0" w:color="000000"/>
            <w:left w:val="single" w:sz="4" w:space="0" w:color="000000"/>
            <w:bottom w:val="single" w:sz="6" w:space="0" w:color="000000"/>
            <w:right w:val="single" w:sz="4" w:space="0" w:color="000000"/>
          </w:tcBorders>
        </w:tcPr>
        <w:p>
          <w:pPr>
            <w:pStyle w:val="TableParagraph"/>
            <w:spacing w:before="117" w:after="0"/>
            <w:ind w:left="535"/>
            <w:rPr/>
          </w:pPr>
          <w:r>
            <w:rPr>
              <w:rFonts w:ascii="Arial" w:hAnsi="Arial"/>
              <w:b/>
              <w:spacing w:val="-2"/>
              <w:sz w:val="20"/>
              <w:lang w:val="en-US"/>
            </w:rPr>
            <w:t>ELABORATO</w:t>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9" w:right="14"/>
            <w:jc w:val="center"/>
            <w:rPr/>
          </w:pPr>
          <w:r>
            <w:rPr>
              <w:rFonts w:ascii="Arial" w:hAnsi="Arial"/>
              <w:i/>
              <w:spacing w:val="-2"/>
              <w:sz w:val="20"/>
              <w:lang w:val="en-US"/>
            </w:rPr>
            <w:t>Codice</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2" w:right="16"/>
            <w:jc w:val="center"/>
            <w:rPr/>
          </w:pPr>
          <w:r>
            <w:rPr>
              <w:rFonts w:ascii="Arial" w:hAnsi="Arial"/>
              <w:i/>
              <w:spacing w:val="-4"/>
              <w:sz w:val="20"/>
              <w:lang w:val="en-US"/>
            </w:rPr>
            <w:t>Data</w:t>
          </w:r>
        </w:p>
      </w:tc>
    </w:tr>
    <w:tr>
      <w:trPr>
        <w:trHeight w:val="225" w:hRule="atLeast"/>
      </w:trPr>
      <w:tc>
        <w:tcPr>
          <w:tcW w:w="2331" w:type="dxa"/>
          <w:vMerge w:val="continue"/>
          <w:tcBorders>
            <w:top w:val="single" w:sz="6" w:space="0" w:color="000000"/>
            <w:left w:val="single" w:sz="4" w:space="0" w:color="000000"/>
            <w:bottom w:val="single" w:sz="6" w:space="0" w:color="000000"/>
            <w:right w:val="single" w:sz="4" w:space="0" w:color="000000"/>
          </w:tcBorders>
        </w:tcPr>
        <w:p>
          <w:pPr>
            <w:pStyle w:val="Normal"/>
            <w:rPr/>
          </w:pPr>
          <w:r>
            <w:rPr/>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4" w:right="5"/>
            <w:jc w:val="center"/>
            <w:rPr/>
          </w:pPr>
          <w:r>
            <w:rPr>
              <w:rFonts w:ascii="Arial" w:hAnsi="Arial"/>
              <w:b/>
              <w:spacing w:val="-2"/>
              <w:sz w:val="20"/>
              <w:lang w:val="en-US"/>
            </w:rPr>
            <w:t>AP_2023_AG_IT_00_00013</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6" w:right="4"/>
            <w:jc w:val="center"/>
            <w:rPr/>
          </w:pPr>
          <w:r>
            <w:rPr>
              <w:rFonts w:ascii="Arial" w:hAnsi="Arial"/>
              <w:b/>
              <w:spacing w:val="-2"/>
              <w:sz w:val="20"/>
              <w:lang w:val="en-US"/>
            </w:rPr>
            <w:t>10/12/2024</w:t>
          </w:r>
        </w:p>
      </w:tc>
    </w:tr>
  </w:tbl>
  <w:p>
    <w:pPr>
      <w:pStyle w:val="Footer"/>
      <w:jc w:val="center"/>
      <w:rPr/>
    </w:pPr>
    <w:r>
      <w:rPr/>
      <w:t xml:space="preserve">Pagina </w:t>
    </w:r>
    <w:r>
      <w:rPr/>
      <w:fldChar w:fldCharType="begin"/>
    </w:r>
    <w:r>
      <w:rPr/>
      <w:instrText xml:space="preserve"> PAGE </w:instrText>
    </w:r>
    <w:r>
      <w:rPr/>
      <w:fldChar w:fldCharType="separate"/>
    </w:r>
    <w:r>
      <w:rPr/>
      <w:t>94</w:t>
    </w:r>
    <w:r>
      <w:rPr/>
      <w:fldChar w:fldCharType="end"/>
    </w:r>
    <w:r>
      <w:rPr/>
      <w:t xml:space="preserve"> di </w:t>
    </w:r>
    <w:r>
      <w:rPr/>
      <w:fldChar w:fldCharType="begin"/>
    </w:r>
    <w:r>
      <w:rPr/>
      <w:instrText xml:space="preserve"> NUMPAGES </w:instrText>
    </w:r>
    <w:r>
      <w:rPr/>
      <w:fldChar w:fldCharType="separate"/>
    </w:r>
    <w:r>
      <w:rPr/>
      <w:t>94</w:t>
    </w:r>
    <w:r>
      <w:rPr/>
      <w:fldChar w:fldCharType="end"/>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tbl>
    <w:tblPr>
      <w:tblW w:w="9354"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2331"/>
      <w:gridCol w:w="3504"/>
      <w:gridCol w:w="3519"/>
    </w:tblGrid>
    <w:tr>
      <w:trPr>
        <w:trHeight w:val="225" w:hRule="atLeast"/>
      </w:trPr>
      <w:tc>
        <w:tcPr>
          <w:tcW w:w="2331" w:type="dxa"/>
          <w:vMerge w:val="restart"/>
          <w:tcBorders>
            <w:top w:val="single" w:sz="6" w:space="0" w:color="000000"/>
            <w:left w:val="single" w:sz="4" w:space="0" w:color="000000"/>
            <w:bottom w:val="single" w:sz="6" w:space="0" w:color="000000"/>
            <w:right w:val="single" w:sz="4" w:space="0" w:color="000000"/>
          </w:tcBorders>
        </w:tcPr>
        <w:p>
          <w:pPr>
            <w:pStyle w:val="TableParagraph"/>
            <w:spacing w:before="117" w:after="0"/>
            <w:ind w:left="535"/>
            <w:rPr/>
          </w:pPr>
          <w:r>
            <w:rPr>
              <w:rFonts w:ascii="Arial" w:hAnsi="Arial"/>
              <w:b/>
              <w:spacing w:val="-2"/>
              <w:sz w:val="20"/>
              <w:lang w:val="en-US"/>
            </w:rPr>
            <w:t>ELABORATO</w:t>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9" w:right="14"/>
            <w:jc w:val="center"/>
            <w:rPr/>
          </w:pPr>
          <w:r>
            <w:rPr>
              <w:rFonts w:ascii="Arial" w:hAnsi="Arial"/>
              <w:i/>
              <w:spacing w:val="-2"/>
              <w:sz w:val="20"/>
              <w:lang w:val="en-US"/>
            </w:rPr>
            <w:t>Codice</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2" w:right="16"/>
            <w:jc w:val="center"/>
            <w:rPr/>
          </w:pPr>
          <w:r>
            <w:rPr>
              <w:rFonts w:ascii="Arial" w:hAnsi="Arial"/>
              <w:i/>
              <w:spacing w:val="-4"/>
              <w:sz w:val="20"/>
              <w:lang w:val="en-US"/>
            </w:rPr>
            <w:t>Data</w:t>
          </w:r>
        </w:p>
      </w:tc>
    </w:tr>
    <w:tr>
      <w:trPr>
        <w:trHeight w:val="225" w:hRule="atLeast"/>
      </w:trPr>
      <w:tc>
        <w:tcPr>
          <w:tcW w:w="2331" w:type="dxa"/>
          <w:vMerge w:val="continue"/>
          <w:tcBorders>
            <w:top w:val="single" w:sz="6" w:space="0" w:color="000000"/>
            <w:left w:val="single" w:sz="4" w:space="0" w:color="000000"/>
            <w:bottom w:val="single" w:sz="6" w:space="0" w:color="000000"/>
            <w:right w:val="single" w:sz="4" w:space="0" w:color="000000"/>
          </w:tcBorders>
        </w:tcPr>
        <w:p>
          <w:pPr>
            <w:pStyle w:val="Normal"/>
            <w:rPr/>
          </w:pPr>
          <w:r>
            <w:rPr/>
          </w:r>
        </w:p>
      </w:tc>
      <w:tc>
        <w:tcPr>
          <w:tcW w:w="3504"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4" w:right="5"/>
            <w:jc w:val="center"/>
            <w:rPr/>
          </w:pPr>
          <w:r>
            <w:rPr>
              <w:rFonts w:ascii="Arial" w:hAnsi="Arial"/>
              <w:b/>
              <w:spacing w:val="-2"/>
              <w:sz w:val="20"/>
              <w:lang w:val="en-US"/>
            </w:rPr>
            <w:t>AP_2023_AG_IT_00_00013</w:t>
          </w:r>
        </w:p>
      </w:tc>
      <w:tc>
        <w:tcPr>
          <w:tcW w:w="3519" w:type="dxa"/>
          <w:tcBorders>
            <w:top w:val="single" w:sz="6" w:space="0" w:color="000000"/>
            <w:left w:val="single" w:sz="4" w:space="0" w:color="000000"/>
            <w:bottom w:val="single" w:sz="6" w:space="0" w:color="000000"/>
            <w:right w:val="single" w:sz="4" w:space="0" w:color="000000"/>
          </w:tcBorders>
        </w:tcPr>
        <w:p>
          <w:pPr>
            <w:pStyle w:val="TableParagraph"/>
            <w:spacing w:lineRule="exact" w:line="205" w:before="0" w:after="0"/>
            <w:ind w:left="16" w:right="4"/>
            <w:jc w:val="center"/>
            <w:rPr/>
          </w:pPr>
          <w:r>
            <w:rPr>
              <w:rFonts w:ascii="Arial" w:hAnsi="Arial"/>
              <w:b/>
              <w:spacing w:val="-2"/>
              <w:sz w:val="20"/>
              <w:lang w:val="en-US"/>
            </w:rPr>
            <w:t>10/12/2024</w:t>
          </w:r>
        </w:p>
      </w:tc>
    </w:tr>
  </w:tbl>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9638"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4170"/>
      <w:gridCol w:w="5467"/>
    </w:tblGrid>
    <w:tr>
      <w:trPr>
        <w:trHeight w:val="845" w:hRule="atLeast"/>
      </w:trPr>
      <w:tc>
        <w:tcPr>
          <w:tcW w:w="4170" w:type="dxa"/>
          <w:tcBorders>
            <w:top w:val="single" w:sz="6" w:space="0" w:color="000000"/>
            <w:left w:val="single" w:sz="4" w:space="0" w:color="000000"/>
            <w:bottom w:val="single" w:sz="6" w:space="0" w:color="000000"/>
            <w:right w:val="single" w:sz="4" w:space="0" w:color="000000"/>
          </w:tcBorders>
        </w:tcPr>
        <w:p>
          <w:pPr>
            <w:pStyle w:val="TableParagraph"/>
            <w:spacing w:before="8" w:after="0"/>
            <w:ind w:left="0"/>
            <w:rPr>
              <w:rFonts w:ascii="Times New Roman" w:hAnsi="Times New Roman"/>
              <w:sz w:val="7"/>
            </w:rPr>
          </w:pPr>
          <w:r>
            <w:rPr>
              <w:rFonts w:ascii="Times New Roman" w:hAnsi="Times New Roman"/>
              <w:sz w:val="7"/>
            </w:rPr>
          </w:r>
        </w:p>
        <w:p>
          <w:pPr>
            <w:pStyle w:val="TableParagraph"/>
            <w:spacing w:before="0" w:after="0"/>
            <w:ind w:left="1775"/>
            <w:rPr/>
          </w:pPr>
          <w:r>
            <w:rPr/>
            <w:drawing>
              <wp:inline distT="0" distB="0" distL="0" distR="0">
                <wp:extent cx="385445" cy="471805"/>
                <wp:effectExtent l="0" t="0" r="0" b="0"/>
                <wp:docPr id="21" name="Imag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 descr=""/>
                        <pic:cNvPicPr>
                          <a:picLocks noChangeAspect="1" noChangeArrowheads="1"/>
                        </pic:cNvPicPr>
                      </pic:nvPicPr>
                      <pic:blipFill>
                        <a:blip r:embed="rId1"/>
                        <a:stretch>
                          <a:fillRect/>
                        </a:stretch>
                      </pic:blipFill>
                      <pic:spPr bwMode="auto">
                        <a:xfrm>
                          <a:off x="0" y="0"/>
                          <a:ext cx="385445" cy="471805"/>
                        </a:xfrm>
                        <a:prstGeom prst="rect">
                          <a:avLst/>
                        </a:prstGeom>
                      </pic:spPr>
                    </pic:pic>
                  </a:graphicData>
                </a:graphic>
              </wp:inline>
            </w:drawing>
          </w:r>
        </w:p>
      </w:tc>
      <w:tc>
        <w:tcPr>
          <w:tcW w:w="5467" w:type="dxa"/>
          <w:tcBorders>
            <w:top w:val="single" w:sz="6" w:space="0" w:color="000000"/>
            <w:left w:val="single" w:sz="4" w:space="0" w:color="000000"/>
            <w:bottom w:val="single" w:sz="6" w:space="0" w:color="000000"/>
            <w:right w:val="single" w:sz="4" w:space="0" w:color="000000"/>
          </w:tcBorders>
        </w:tcPr>
        <w:p>
          <w:pPr>
            <w:pStyle w:val="TableParagraph"/>
            <w:spacing w:before="0" w:after="0"/>
            <w:ind w:left="2368"/>
            <w:rPr/>
          </w:pPr>
          <w:r>
            <w:rPr/>
            <w:drawing>
              <wp:inline distT="0" distB="0" distL="0" distR="0">
                <wp:extent cx="469265" cy="536575"/>
                <wp:effectExtent l="0" t="0" r="0" b="0"/>
                <wp:docPr id="22" name="Imag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3" descr=""/>
                        <pic:cNvPicPr>
                          <a:picLocks noChangeAspect="1" noChangeArrowheads="1"/>
                        </pic:cNvPicPr>
                      </pic:nvPicPr>
                      <pic:blipFill>
                        <a:blip r:embed="rId2"/>
                        <a:stretch>
                          <a:fillRect/>
                        </a:stretch>
                      </pic:blipFill>
                      <pic:spPr bwMode="auto">
                        <a:xfrm>
                          <a:off x="0" y="0"/>
                          <a:ext cx="469265" cy="536575"/>
                        </a:xfrm>
                        <a:prstGeom prst="rect">
                          <a:avLst/>
                        </a:prstGeom>
                      </pic:spPr>
                    </pic:pic>
                  </a:graphicData>
                </a:graphic>
              </wp:inline>
            </w:drawing>
          </w:r>
        </w:p>
      </w:tc>
    </w:tr>
    <w:tr>
      <w:trPr>
        <w:trHeight w:val="296" w:hRule="atLeast"/>
      </w:trPr>
      <w:tc>
        <w:tcPr>
          <w:tcW w:w="4170" w:type="dxa"/>
          <w:tcBorders>
            <w:top w:val="single" w:sz="6" w:space="0" w:color="000000"/>
            <w:left w:val="single" w:sz="4" w:space="0" w:color="000000"/>
            <w:right w:val="single" w:sz="4" w:space="0" w:color="000000"/>
          </w:tcBorders>
        </w:tcPr>
        <w:p>
          <w:pPr>
            <w:pStyle w:val="TableParagraph"/>
            <w:spacing w:before="0" w:after="0"/>
            <w:ind w:left="0"/>
            <w:rPr>
              <w:rFonts w:ascii="Times New Roman" w:hAnsi="Times New Roman"/>
              <w:sz w:val="18"/>
            </w:rPr>
          </w:pPr>
          <w:r>
            <w:rPr>
              <w:rFonts w:ascii="Times New Roman" w:hAnsi="Times New Roman"/>
              <w:sz w:val="18"/>
            </w:rPr>
          </w:r>
        </w:p>
      </w:tc>
      <w:tc>
        <w:tcPr>
          <w:tcW w:w="5467" w:type="dxa"/>
          <w:tcBorders>
            <w:top w:val="single" w:sz="6" w:space="0" w:color="000000"/>
            <w:left w:val="single" w:sz="4" w:space="0" w:color="000000"/>
            <w:right w:val="single" w:sz="4" w:space="0" w:color="000000"/>
          </w:tcBorders>
        </w:tcPr>
        <w:p>
          <w:pPr>
            <w:pStyle w:val="TableParagraph"/>
            <w:spacing w:before="20" w:after="0"/>
            <w:ind w:left="0"/>
            <w:rPr>
              <w:rFonts w:ascii="Times New Roman" w:hAnsi="Times New Roman"/>
              <w:sz w:val="9"/>
            </w:rPr>
          </w:pPr>
          <w:r>
            <w:rPr>
              <w:rFonts w:ascii="Times New Roman" w:hAnsi="Times New Roman"/>
              <w:sz w:val="9"/>
            </w:rPr>
          </w:r>
        </w:p>
        <w:p>
          <w:pPr>
            <w:pStyle w:val="TableParagraph"/>
            <w:spacing w:before="0" w:after="0"/>
            <w:ind w:left="12" w:right="13"/>
            <w:jc w:val="center"/>
            <w:rPr/>
          </w:pPr>
          <w:r>
            <w:rPr>
              <w:rFonts w:ascii="Arial" w:hAnsi="Arial"/>
              <w:b/>
              <w:sz w:val="9"/>
              <w:lang w:val="en-US"/>
            </w:rPr>
            <w:t>REGIONE</w:t>
          </w:r>
          <w:r>
            <w:rPr>
              <w:rFonts w:ascii="Arial" w:hAnsi="Arial"/>
              <w:b/>
              <w:spacing w:val="15"/>
              <w:sz w:val="9"/>
              <w:lang w:val="en-US"/>
            </w:rPr>
            <w:t xml:space="preserve"> </w:t>
          </w:r>
          <w:r>
            <w:rPr>
              <w:rFonts w:ascii="Arial" w:hAnsi="Arial"/>
              <w:b/>
              <w:sz w:val="9"/>
              <w:lang w:val="en-US"/>
            </w:rPr>
            <w:t>AUTÒNOMA</w:t>
          </w:r>
          <w:r>
            <w:rPr>
              <w:rFonts w:ascii="Arial" w:hAnsi="Arial"/>
              <w:b/>
              <w:spacing w:val="10"/>
              <w:sz w:val="9"/>
              <w:lang w:val="en-US"/>
            </w:rPr>
            <w:t xml:space="preserve"> </w:t>
          </w:r>
          <w:r>
            <w:rPr>
              <w:rFonts w:ascii="Arial" w:hAnsi="Arial"/>
              <w:b/>
              <w:sz w:val="9"/>
              <w:lang w:val="en-US"/>
            </w:rPr>
            <w:t>DE</w:t>
          </w:r>
          <w:r>
            <w:rPr>
              <w:rFonts w:ascii="Arial" w:hAnsi="Arial"/>
              <w:b/>
              <w:spacing w:val="16"/>
              <w:sz w:val="9"/>
              <w:lang w:val="en-US"/>
            </w:rPr>
            <w:t xml:space="preserve"> </w:t>
          </w:r>
          <w:r>
            <w:rPr>
              <w:rFonts w:ascii="Arial" w:hAnsi="Arial"/>
              <w:b/>
              <w:spacing w:val="-2"/>
              <w:sz w:val="9"/>
              <w:lang w:val="en-US"/>
            </w:rPr>
            <w:t>SARDIGNA</w:t>
          </w:r>
        </w:p>
      </w:tc>
    </w:tr>
    <w:tr>
      <w:trPr>
        <w:trHeight w:val="218" w:hRule="atLeast"/>
      </w:trPr>
      <w:tc>
        <w:tcPr>
          <w:tcW w:w="4170" w:type="dxa"/>
          <w:tcBorders>
            <w:left w:val="single" w:sz="4" w:space="0" w:color="000000"/>
            <w:right w:val="single" w:sz="4" w:space="0" w:color="000000"/>
          </w:tcBorders>
        </w:tcPr>
        <w:p>
          <w:pPr>
            <w:pStyle w:val="TableParagraph"/>
            <w:spacing w:before="0" w:after="0"/>
            <w:ind w:left="0"/>
            <w:rPr>
              <w:rFonts w:ascii="Times New Roman" w:hAnsi="Times New Roman"/>
              <w:sz w:val="14"/>
            </w:rPr>
          </w:pPr>
          <w:r>
            <w:rPr>
              <w:rFonts w:ascii="Times New Roman" w:hAnsi="Times New Roman"/>
              <w:sz w:val="14"/>
            </w:rPr>
          </w:r>
        </w:p>
      </w:tc>
      <w:tc>
        <w:tcPr>
          <w:tcW w:w="5467" w:type="dxa"/>
          <w:tcBorders>
            <w:left w:val="single" w:sz="4" w:space="0" w:color="000000"/>
            <w:right w:val="single" w:sz="4" w:space="0" w:color="000000"/>
          </w:tcBorders>
        </w:tcPr>
        <w:p>
          <w:pPr>
            <w:pStyle w:val="TableParagraph"/>
            <w:spacing w:before="67" w:after="0"/>
            <w:ind w:left="12" w:right="15"/>
            <w:jc w:val="center"/>
            <w:rPr/>
          </w:pPr>
          <w:r>
            <w:rPr>
              <w:rFonts w:ascii="Arial" w:hAnsi="Arial"/>
              <w:b/>
              <w:sz w:val="9"/>
              <w:lang w:val="en-US"/>
            </w:rPr>
            <w:t>REGIONE</w:t>
          </w:r>
          <w:r>
            <w:rPr>
              <w:rFonts w:ascii="Arial" w:hAnsi="Arial"/>
              <w:b/>
              <w:spacing w:val="16"/>
              <w:sz w:val="9"/>
              <w:lang w:val="en-US"/>
            </w:rPr>
            <w:t xml:space="preserve"> </w:t>
          </w:r>
          <w:r>
            <w:rPr>
              <w:rFonts w:ascii="Arial" w:hAnsi="Arial"/>
              <w:b/>
              <w:sz w:val="9"/>
              <w:lang w:val="en-US"/>
            </w:rPr>
            <w:t>AUTONOMA</w:t>
          </w:r>
          <w:r>
            <w:rPr>
              <w:rFonts w:ascii="Arial" w:hAnsi="Arial"/>
              <w:b/>
              <w:spacing w:val="12"/>
              <w:sz w:val="9"/>
              <w:lang w:val="en-US"/>
            </w:rPr>
            <w:t xml:space="preserve"> </w:t>
          </w:r>
          <w:r>
            <w:rPr>
              <w:rFonts w:ascii="Arial" w:hAnsi="Arial"/>
              <w:b/>
              <w:sz w:val="9"/>
              <w:lang w:val="en-US"/>
            </w:rPr>
            <w:t>DELLA</w:t>
          </w:r>
          <w:r>
            <w:rPr>
              <w:rFonts w:ascii="Arial" w:hAnsi="Arial"/>
              <w:b/>
              <w:spacing w:val="11"/>
              <w:sz w:val="9"/>
              <w:lang w:val="en-US"/>
            </w:rPr>
            <w:t xml:space="preserve"> </w:t>
          </w:r>
          <w:r>
            <w:rPr>
              <w:rFonts w:ascii="Arial" w:hAnsi="Arial"/>
              <w:b/>
              <w:spacing w:val="-2"/>
              <w:sz w:val="9"/>
              <w:lang w:val="en-US"/>
            </w:rPr>
            <w:t>SARDEGNA</w:t>
          </w:r>
        </w:p>
      </w:tc>
    </w:tr>
    <w:tr>
      <w:trPr>
        <w:trHeight w:val="485" w:hRule="atLeast"/>
      </w:trPr>
      <w:tc>
        <w:tcPr>
          <w:tcW w:w="4170" w:type="dxa"/>
          <w:tcBorders>
            <w:left w:val="single" w:sz="4" w:space="0" w:color="000000"/>
            <w:right w:val="single" w:sz="4" w:space="0" w:color="000000"/>
          </w:tcBorders>
        </w:tcPr>
        <w:p>
          <w:pPr>
            <w:pStyle w:val="TableParagraph"/>
            <w:spacing w:before="102" w:after="0"/>
            <w:ind w:left="10"/>
            <w:jc w:val="center"/>
            <w:rPr/>
          </w:pPr>
          <w:r>
            <w:rPr>
              <w:rFonts w:ascii="Arial" w:hAnsi="Arial"/>
              <w:b/>
              <w:sz w:val="20"/>
              <w:lang w:val="en-US"/>
            </w:rPr>
            <w:t>Città</w:t>
          </w:r>
          <w:r>
            <w:rPr>
              <w:rFonts w:ascii="Arial" w:hAnsi="Arial"/>
              <w:b/>
              <w:spacing w:val="-5"/>
              <w:sz w:val="20"/>
              <w:lang w:val="en-US"/>
            </w:rPr>
            <w:t xml:space="preserve"> </w:t>
          </w:r>
          <w:r>
            <w:rPr>
              <w:rFonts w:ascii="Arial" w:hAnsi="Arial"/>
              <w:b/>
              <w:sz w:val="20"/>
              <w:lang w:val="en-US"/>
            </w:rPr>
            <w:t>Metropolitana</w:t>
          </w:r>
          <w:r>
            <w:rPr>
              <w:rFonts w:ascii="Arial" w:hAnsi="Arial"/>
              <w:b/>
              <w:spacing w:val="-5"/>
              <w:sz w:val="20"/>
              <w:lang w:val="en-US"/>
            </w:rPr>
            <w:t xml:space="preserve"> </w:t>
          </w:r>
          <w:r>
            <w:rPr>
              <w:rFonts w:ascii="Arial" w:hAnsi="Arial"/>
              <w:b/>
              <w:sz w:val="20"/>
              <w:lang w:val="en-US"/>
            </w:rPr>
            <w:t>di</w:t>
          </w:r>
          <w:r>
            <w:rPr>
              <w:rFonts w:ascii="Arial" w:hAnsi="Arial"/>
              <w:b/>
              <w:spacing w:val="-4"/>
              <w:sz w:val="20"/>
              <w:lang w:val="en-US"/>
            </w:rPr>
            <w:t xml:space="preserve"> </w:t>
          </w:r>
          <w:r>
            <w:rPr>
              <w:rFonts w:ascii="Arial" w:hAnsi="Arial"/>
              <w:b/>
              <w:spacing w:val="-2"/>
              <w:sz w:val="20"/>
              <w:lang w:val="en-US"/>
            </w:rPr>
            <w:t>Cagliari</w:t>
          </w:r>
        </w:p>
      </w:tc>
      <w:tc>
        <w:tcPr>
          <w:tcW w:w="5467" w:type="dxa"/>
          <w:tcBorders>
            <w:left w:val="single" w:sz="4" w:space="0" w:color="000000"/>
            <w:right w:val="single" w:sz="4" w:space="0" w:color="000000"/>
          </w:tcBorders>
        </w:tcPr>
        <w:p>
          <w:pPr>
            <w:pStyle w:val="TableParagraph"/>
            <w:spacing w:before="42" w:after="0"/>
            <w:ind w:left="0" w:right="359"/>
            <w:jc w:val="right"/>
            <w:rPr/>
          </w:pPr>
          <w:r>
            <w:rPr>
              <w:sz w:val="14"/>
              <w:lang w:val="en-US"/>
            </w:rPr>
            <w:t>AGENTZIA</w:t>
          </w:r>
          <w:r>
            <w:rPr>
              <w:spacing w:val="-7"/>
              <w:sz w:val="14"/>
              <w:lang w:val="en-US"/>
            </w:rPr>
            <w:t xml:space="preserve"> </w:t>
          </w:r>
          <w:r>
            <w:rPr>
              <w:sz w:val="14"/>
              <w:lang w:val="en-US"/>
            </w:rPr>
            <w:t>REGIONALE</w:t>
          </w:r>
          <w:r>
            <w:rPr>
              <w:spacing w:val="-2"/>
              <w:sz w:val="14"/>
              <w:lang w:val="en-US"/>
            </w:rPr>
            <w:t xml:space="preserve"> </w:t>
          </w:r>
          <w:r>
            <w:rPr>
              <w:sz w:val="14"/>
              <w:lang w:val="en-US"/>
            </w:rPr>
            <w:t>PRO</w:t>
          </w:r>
          <w:r>
            <w:rPr>
              <w:spacing w:val="-3"/>
              <w:sz w:val="14"/>
              <w:lang w:val="en-US"/>
            </w:rPr>
            <w:t xml:space="preserve"> </w:t>
          </w:r>
          <w:r>
            <w:rPr>
              <w:sz w:val="14"/>
              <w:lang w:val="en-US"/>
            </w:rPr>
            <w:t>S’AMPARU</w:t>
          </w:r>
          <w:r>
            <w:rPr>
              <w:spacing w:val="-4"/>
              <w:sz w:val="14"/>
              <w:lang w:val="en-US"/>
            </w:rPr>
            <w:t xml:space="preserve"> </w:t>
          </w:r>
          <w:r>
            <w:rPr>
              <w:sz w:val="14"/>
              <w:lang w:val="en-US"/>
            </w:rPr>
            <w:t>DE</w:t>
          </w:r>
          <w:r>
            <w:rPr>
              <w:spacing w:val="-4"/>
              <w:sz w:val="14"/>
              <w:lang w:val="en-US"/>
            </w:rPr>
            <w:t xml:space="preserve"> </w:t>
          </w:r>
          <w:r>
            <w:rPr>
              <w:sz w:val="14"/>
              <w:lang w:val="en-US"/>
            </w:rPr>
            <w:t>S’AMBIENTE</w:t>
          </w:r>
          <w:r>
            <w:rPr>
              <w:spacing w:val="-4"/>
              <w:sz w:val="14"/>
              <w:lang w:val="en-US"/>
            </w:rPr>
            <w:t xml:space="preserve"> </w:t>
          </w:r>
          <w:r>
            <w:rPr>
              <w:sz w:val="14"/>
              <w:lang w:val="en-US"/>
            </w:rPr>
            <w:t>DE</w:t>
          </w:r>
          <w:r>
            <w:rPr>
              <w:spacing w:val="-4"/>
              <w:sz w:val="14"/>
              <w:lang w:val="en-US"/>
            </w:rPr>
            <w:t xml:space="preserve"> </w:t>
          </w:r>
          <w:r>
            <w:rPr>
              <w:spacing w:val="-2"/>
              <w:sz w:val="14"/>
              <w:lang w:val="en-US"/>
            </w:rPr>
            <w:t>SARDIGNA</w:t>
          </w:r>
        </w:p>
        <w:p>
          <w:pPr>
            <w:pStyle w:val="TableParagraph"/>
            <w:spacing w:before="79" w:after="0"/>
            <w:ind w:left="0" w:right="441"/>
            <w:jc w:val="right"/>
            <w:rPr/>
          </w:pPr>
          <w:r>
            <w:rPr>
              <w:sz w:val="14"/>
              <w:lang w:val="en-US"/>
            </w:rPr>
            <w:t>AGENZIA</w:t>
          </w:r>
          <w:r>
            <w:rPr>
              <w:spacing w:val="-6"/>
              <w:sz w:val="14"/>
              <w:lang w:val="en-US"/>
            </w:rPr>
            <w:t xml:space="preserve"> </w:t>
          </w:r>
          <w:r>
            <w:rPr>
              <w:sz w:val="14"/>
              <w:lang w:val="en-US"/>
            </w:rPr>
            <w:t>REGIONALE</w:t>
          </w:r>
          <w:r>
            <w:rPr>
              <w:spacing w:val="-5"/>
              <w:sz w:val="14"/>
              <w:lang w:val="en-US"/>
            </w:rPr>
            <w:t xml:space="preserve"> </w:t>
          </w:r>
          <w:r>
            <w:rPr>
              <w:sz w:val="14"/>
              <w:lang w:val="en-US"/>
            </w:rPr>
            <w:t>PER</w:t>
          </w:r>
          <w:r>
            <w:rPr>
              <w:spacing w:val="-5"/>
              <w:sz w:val="14"/>
              <w:lang w:val="en-US"/>
            </w:rPr>
            <w:t xml:space="preserve"> </w:t>
          </w:r>
          <w:r>
            <w:rPr>
              <w:sz w:val="14"/>
              <w:lang w:val="en-US"/>
            </w:rPr>
            <w:t>LA</w:t>
          </w:r>
          <w:r>
            <w:rPr>
              <w:spacing w:val="-5"/>
              <w:sz w:val="14"/>
              <w:lang w:val="en-US"/>
            </w:rPr>
            <w:t xml:space="preserve"> </w:t>
          </w:r>
          <w:r>
            <w:rPr>
              <w:sz w:val="14"/>
              <w:lang w:val="en-US"/>
            </w:rPr>
            <w:t>PROTEZIONE</w:t>
          </w:r>
          <w:r>
            <w:rPr>
              <w:spacing w:val="-3"/>
              <w:sz w:val="14"/>
              <w:lang w:val="en-US"/>
            </w:rPr>
            <w:t xml:space="preserve"> </w:t>
          </w:r>
          <w:r>
            <w:rPr>
              <w:sz w:val="14"/>
              <w:lang w:val="en-US"/>
            </w:rPr>
            <w:t>DELL’AMBIENTE</w:t>
          </w:r>
          <w:r>
            <w:rPr>
              <w:spacing w:val="-3"/>
              <w:sz w:val="14"/>
              <w:lang w:val="en-US"/>
            </w:rPr>
            <w:t xml:space="preserve"> </w:t>
          </w:r>
          <w:r>
            <w:rPr>
              <w:spacing w:val="-4"/>
              <w:sz w:val="14"/>
              <w:lang w:val="en-US"/>
            </w:rPr>
            <w:t>DELLA</w:t>
          </w:r>
        </w:p>
      </w:tc>
    </w:tr>
    <w:tr>
      <w:trPr>
        <w:trHeight w:val="193" w:hRule="atLeast"/>
      </w:trPr>
      <w:tc>
        <w:tcPr>
          <w:tcW w:w="4170" w:type="dxa"/>
          <w:tcBorders>
            <w:left w:val="single" w:sz="4" w:space="0" w:color="000000"/>
            <w:right w:val="single" w:sz="4" w:space="0" w:color="000000"/>
          </w:tcBorders>
        </w:tcPr>
        <w:p>
          <w:pPr>
            <w:pStyle w:val="TableParagraph"/>
            <w:spacing w:before="0" w:after="0"/>
            <w:ind w:left="0"/>
            <w:rPr>
              <w:rFonts w:ascii="Times New Roman" w:hAnsi="Times New Roman"/>
              <w:sz w:val="12"/>
            </w:rPr>
          </w:pPr>
          <w:r>
            <w:rPr>
              <w:rFonts w:ascii="Times New Roman" w:hAnsi="Times New Roman"/>
              <w:sz w:val="12"/>
            </w:rPr>
          </w:r>
        </w:p>
      </w:tc>
      <w:tc>
        <w:tcPr>
          <w:tcW w:w="5467" w:type="dxa"/>
          <w:tcBorders>
            <w:left w:val="single" w:sz="4" w:space="0" w:color="000000"/>
            <w:right w:val="single" w:sz="4" w:space="0" w:color="000000"/>
          </w:tcBorders>
        </w:tcPr>
        <w:p>
          <w:pPr>
            <w:pStyle w:val="TableParagraph"/>
            <w:spacing w:lineRule="exact" w:line="137" w:before="37" w:after="0"/>
            <w:ind w:left="15" w:right="3"/>
            <w:jc w:val="center"/>
            <w:rPr/>
          </w:pPr>
          <w:r>
            <w:rPr>
              <w:spacing w:val="-2"/>
              <w:sz w:val="14"/>
              <w:lang w:val="en-US"/>
            </w:rPr>
            <w:t>SARDEGNA</w:t>
          </w:r>
        </w:p>
      </w:tc>
    </w:tr>
    <w:tr>
      <w:trPr>
        <w:trHeight w:val="243" w:hRule="atLeast"/>
      </w:trPr>
      <w:tc>
        <w:tcPr>
          <w:tcW w:w="4170" w:type="dxa"/>
          <w:tcBorders>
            <w:left w:val="single" w:sz="4" w:space="0" w:color="000000"/>
            <w:right w:val="single" w:sz="4" w:space="0" w:color="000000"/>
          </w:tcBorders>
        </w:tcPr>
        <w:p>
          <w:pPr>
            <w:pStyle w:val="TableParagraph"/>
            <w:spacing w:lineRule="exact" w:line="219" w:before="0" w:after="0"/>
            <w:ind w:left="10"/>
            <w:jc w:val="center"/>
            <w:rPr/>
          </w:pPr>
          <w:r>
            <w:rPr>
              <w:sz w:val="20"/>
              <w:lang w:val="en-US"/>
            </w:rPr>
            <w:t>Settore</w:t>
          </w:r>
          <w:r>
            <w:rPr>
              <w:spacing w:val="-5"/>
              <w:sz w:val="20"/>
              <w:lang w:val="en-US"/>
            </w:rPr>
            <w:t xml:space="preserve"> </w:t>
          </w:r>
          <w:r>
            <w:rPr>
              <w:spacing w:val="-2"/>
              <w:sz w:val="20"/>
              <w:lang w:val="en-US"/>
            </w:rPr>
            <w:t>Ambiente</w:t>
          </w:r>
        </w:p>
      </w:tc>
      <w:tc>
        <w:tcPr>
          <w:tcW w:w="5467" w:type="dxa"/>
          <w:tcBorders>
            <w:left w:val="single" w:sz="4" w:space="0" w:color="000000"/>
            <w:right w:val="single" w:sz="4" w:space="0" w:color="000000"/>
          </w:tcBorders>
        </w:tcPr>
        <w:p>
          <w:pPr>
            <w:pStyle w:val="TableParagraph"/>
            <w:spacing w:lineRule="exact" w:line="177" w:before="46" w:after="0"/>
            <w:ind w:left="13" w:right="3"/>
            <w:jc w:val="center"/>
            <w:rPr/>
          </w:pPr>
          <w:r>
            <w:rPr>
              <w:rFonts w:ascii="Arial Black" w:hAnsi="Arial Black"/>
              <w:spacing w:val="-2"/>
              <w:sz w:val="14"/>
              <w:lang w:val="en-US"/>
            </w:rPr>
            <w:t>ARPAS</w:t>
          </w:r>
        </w:p>
      </w:tc>
    </w:tr>
    <w:tr>
      <w:trPr>
        <w:trHeight w:val="195" w:hRule="atLeast"/>
      </w:trPr>
      <w:tc>
        <w:tcPr>
          <w:tcW w:w="4170" w:type="dxa"/>
          <w:tcBorders>
            <w:left w:val="single" w:sz="4" w:space="0" w:color="000000"/>
            <w:bottom w:val="single" w:sz="4" w:space="0" w:color="000000"/>
            <w:right w:val="single" w:sz="4" w:space="0" w:color="000000"/>
          </w:tcBorders>
        </w:tcPr>
        <w:p>
          <w:pPr>
            <w:pStyle w:val="TableParagraph"/>
            <w:spacing w:before="0" w:after="0"/>
            <w:ind w:left="0"/>
            <w:rPr>
              <w:rFonts w:ascii="Times New Roman" w:hAnsi="Times New Roman"/>
              <w:sz w:val="12"/>
            </w:rPr>
          </w:pPr>
          <w:r>
            <w:rPr>
              <w:rFonts w:ascii="Times New Roman" w:hAnsi="Times New Roman"/>
              <w:sz w:val="12"/>
            </w:rPr>
          </w:r>
        </w:p>
      </w:tc>
      <w:tc>
        <w:tcPr>
          <w:tcW w:w="5467" w:type="dxa"/>
          <w:tcBorders>
            <w:left w:val="single" w:sz="4" w:space="0" w:color="000000"/>
            <w:bottom w:val="single" w:sz="4" w:space="0" w:color="000000"/>
            <w:right w:val="single" w:sz="4" w:space="0" w:color="000000"/>
          </w:tcBorders>
        </w:tcPr>
        <w:p>
          <w:pPr>
            <w:pStyle w:val="TableParagraph"/>
            <w:spacing w:lineRule="exact" w:line="176" w:before="0" w:after="0"/>
            <w:ind w:left="12" w:right="3"/>
            <w:jc w:val="center"/>
            <w:rPr/>
          </w:pPr>
          <w:r>
            <w:rPr>
              <w:sz w:val="14"/>
              <w:lang w:val="en-US"/>
            </w:rPr>
            <w:t>Direzione</w:t>
          </w:r>
          <w:r>
            <w:rPr>
              <w:spacing w:val="-5"/>
              <w:sz w:val="14"/>
              <w:lang w:val="en-US"/>
            </w:rPr>
            <w:t xml:space="preserve"> </w:t>
          </w:r>
          <w:r>
            <w:rPr>
              <w:sz w:val="14"/>
              <w:lang w:val="en-US"/>
            </w:rPr>
            <w:t>Tecnico</w:t>
          </w:r>
          <w:r>
            <w:rPr>
              <w:spacing w:val="-5"/>
              <w:sz w:val="14"/>
              <w:lang w:val="en-US"/>
            </w:rPr>
            <w:t xml:space="preserve"> </w:t>
          </w:r>
          <w:r>
            <w:rPr>
              <w:sz w:val="14"/>
              <w:lang w:val="en-US"/>
            </w:rPr>
            <w:t>Scientifica</w:t>
          </w:r>
          <w:r>
            <w:rPr>
              <w:spacing w:val="-4"/>
              <w:sz w:val="14"/>
              <w:lang w:val="en-US"/>
            </w:rPr>
            <w:t xml:space="preserve"> </w:t>
          </w:r>
          <w:r>
            <w:rPr>
              <w:sz w:val="14"/>
              <w:lang w:val="en-US"/>
            </w:rPr>
            <w:t>-</w:t>
          </w:r>
          <w:r>
            <w:rPr>
              <w:spacing w:val="-5"/>
              <w:sz w:val="14"/>
              <w:lang w:val="en-US"/>
            </w:rPr>
            <w:t xml:space="preserve"> </w:t>
          </w:r>
          <w:r>
            <w:rPr>
              <w:sz w:val="14"/>
              <w:lang w:val="en-US"/>
            </w:rPr>
            <w:t>Servizio</w:t>
          </w:r>
          <w:r>
            <w:rPr>
              <w:spacing w:val="-2"/>
              <w:sz w:val="14"/>
              <w:lang w:val="en-US"/>
            </w:rPr>
            <w:t xml:space="preserve"> </w:t>
          </w:r>
          <w:r>
            <w:rPr>
              <w:rFonts w:ascii="Arial Black" w:hAnsi="Arial Black"/>
              <w:sz w:val="14"/>
              <w:lang w:val="en-US"/>
            </w:rPr>
            <w:t>Agenti</w:t>
          </w:r>
          <w:r>
            <w:rPr>
              <w:rFonts w:ascii="Arial Black" w:hAnsi="Arial Black"/>
              <w:spacing w:val="-6"/>
              <w:sz w:val="14"/>
              <w:lang w:val="en-US"/>
            </w:rPr>
            <w:t xml:space="preserve"> </w:t>
          </w:r>
          <w:r>
            <w:rPr>
              <w:rFonts w:ascii="Arial Black" w:hAnsi="Arial Black"/>
              <w:spacing w:val="-2"/>
              <w:sz w:val="14"/>
              <w:lang w:val="en-US"/>
            </w:rPr>
            <w:t>fisici</w:t>
          </w:r>
        </w:p>
      </w:tc>
    </w:tr>
  </w:tbl>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9638"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4170"/>
      <w:gridCol w:w="5467"/>
    </w:tblGrid>
    <w:tr>
      <w:trPr>
        <w:trHeight w:val="845" w:hRule="atLeast"/>
      </w:trPr>
      <w:tc>
        <w:tcPr>
          <w:tcW w:w="4170" w:type="dxa"/>
          <w:tcBorders>
            <w:top w:val="single" w:sz="6" w:space="0" w:color="000000"/>
            <w:left w:val="single" w:sz="4" w:space="0" w:color="000000"/>
            <w:bottom w:val="single" w:sz="6" w:space="0" w:color="000000"/>
            <w:right w:val="single" w:sz="4" w:space="0" w:color="000000"/>
          </w:tcBorders>
        </w:tcPr>
        <w:p>
          <w:pPr>
            <w:pStyle w:val="TableParagraph"/>
            <w:spacing w:before="8" w:after="0"/>
            <w:ind w:left="0"/>
            <w:rPr>
              <w:rFonts w:ascii="Times New Roman" w:hAnsi="Times New Roman"/>
              <w:sz w:val="7"/>
            </w:rPr>
          </w:pPr>
          <w:r>
            <w:rPr>
              <w:rFonts w:ascii="Times New Roman" w:hAnsi="Times New Roman"/>
              <w:sz w:val="7"/>
            </w:rPr>
          </w:r>
        </w:p>
        <w:p>
          <w:pPr>
            <w:pStyle w:val="TableParagraph"/>
            <w:spacing w:before="0" w:after="0"/>
            <w:ind w:left="1775"/>
            <w:rPr/>
          </w:pPr>
          <w:r>
            <w:rPr/>
            <w:drawing>
              <wp:inline distT="0" distB="0" distL="0" distR="0">
                <wp:extent cx="385445" cy="471805"/>
                <wp:effectExtent l="0" t="0" r="0" b="0"/>
                <wp:docPr id="23" name="Copia Image 2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opia Image 2 1" descr=""/>
                        <pic:cNvPicPr>
                          <a:picLocks noChangeAspect="1" noChangeArrowheads="1"/>
                        </pic:cNvPicPr>
                      </pic:nvPicPr>
                      <pic:blipFill>
                        <a:blip r:embed="rId1"/>
                        <a:stretch>
                          <a:fillRect/>
                        </a:stretch>
                      </pic:blipFill>
                      <pic:spPr bwMode="auto">
                        <a:xfrm>
                          <a:off x="0" y="0"/>
                          <a:ext cx="385445" cy="471805"/>
                        </a:xfrm>
                        <a:prstGeom prst="rect">
                          <a:avLst/>
                        </a:prstGeom>
                      </pic:spPr>
                    </pic:pic>
                  </a:graphicData>
                </a:graphic>
              </wp:inline>
            </w:drawing>
          </w:r>
        </w:p>
      </w:tc>
      <w:tc>
        <w:tcPr>
          <w:tcW w:w="5467" w:type="dxa"/>
          <w:tcBorders>
            <w:top w:val="single" w:sz="6" w:space="0" w:color="000000"/>
            <w:left w:val="single" w:sz="4" w:space="0" w:color="000000"/>
            <w:bottom w:val="single" w:sz="6" w:space="0" w:color="000000"/>
            <w:right w:val="single" w:sz="4" w:space="0" w:color="000000"/>
          </w:tcBorders>
        </w:tcPr>
        <w:p>
          <w:pPr>
            <w:pStyle w:val="TableParagraph"/>
            <w:spacing w:before="0" w:after="0"/>
            <w:ind w:left="2368"/>
            <w:rPr/>
          </w:pPr>
          <w:r>
            <w:rPr/>
            <w:drawing>
              <wp:inline distT="0" distB="0" distL="0" distR="0">
                <wp:extent cx="469265" cy="536575"/>
                <wp:effectExtent l="0" t="0" r="0" b="0"/>
                <wp:docPr id="24" name="Copia Image 3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pia Image 3 1" descr=""/>
                        <pic:cNvPicPr>
                          <a:picLocks noChangeAspect="1" noChangeArrowheads="1"/>
                        </pic:cNvPicPr>
                      </pic:nvPicPr>
                      <pic:blipFill>
                        <a:blip r:embed="rId2"/>
                        <a:stretch>
                          <a:fillRect/>
                        </a:stretch>
                      </pic:blipFill>
                      <pic:spPr bwMode="auto">
                        <a:xfrm>
                          <a:off x="0" y="0"/>
                          <a:ext cx="469265" cy="536575"/>
                        </a:xfrm>
                        <a:prstGeom prst="rect">
                          <a:avLst/>
                        </a:prstGeom>
                      </pic:spPr>
                    </pic:pic>
                  </a:graphicData>
                </a:graphic>
              </wp:inline>
            </w:drawing>
          </w:r>
        </w:p>
      </w:tc>
    </w:tr>
    <w:tr>
      <w:trPr>
        <w:trHeight w:val="296" w:hRule="atLeast"/>
      </w:trPr>
      <w:tc>
        <w:tcPr>
          <w:tcW w:w="4170" w:type="dxa"/>
          <w:tcBorders>
            <w:top w:val="single" w:sz="6" w:space="0" w:color="000000"/>
            <w:left w:val="single" w:sz="4" w:space="0" w:color="000000"/>
            <w:right w:val="single" w:sz="4" w:space="0" w:color="000000"/>
          </w:tcBorders>
        </w:tcPr>
        <w:p>
          <w:pPr>
            <w:pStyle w:val="TableParagraph"/>
            <w:spacing w:before="0" w:after="0"/>
            <w:ind w:left="0"/>
            <w:rPr>
              <w:rFonts w:ascii="Times New Roman" w:hAnsi="Times New Roman"/>
              <w:sz w:val="18"/>
            </w:rPr>
          </w:pPr>
          <w:r>
            <w:rPr>
              <w:rFonts w:ascii="Times New Roman" w:hAnsi="Times New Roman"/>
              <w:sz w:val="18"/>
            </w:rPr>
          </w:r>
        </w:p>
      </w:tc>
      <w:tc>
        <w:tcPr>
          <w:tcW w:w="5467" w:type="dxa"/>
          <w:tcBorders>
            <w:top w:val="single" w:sz="6" w:space="0" w:color="000000"/>
            <w:left w:val="single" w:sz="4" w:space="0" w:color="000000"/>
            <w:right w:val="single" w:sz="4" w:space="0" w:color="000000"/>
          </w:tcBorders>
        </w:tcPr>
        <w:p>
          <w:pPr>
            <w:pStyle w:val="TableParagraph"/>
            <w:spacing w:before="20" w:after="0"/>
            <w:ind w:left="0"/>
            <w:rPr>
              <w:rFonts w:ascii="Times New Roman" w:hAnsi="Times New Roman"/>
              <w:sz w:val="9"/>
            </w:rPr>
          </w:pPr>
          <w:r>
            <w:rPr>
              <w:rFonts w:ascii="Times New Roman" w:hAnsi="Times New Roman"/>
              <w:sz w:val="9"/>
            </w:rPr>
          </w:r>
        </w:p>
        <w:p>
          <w:pPr>
            <w:pStyle w:val="TableParagraph"/>
            <w:spacing w:before="0" w:after="0"/>
            <w:ind w:left="12" w:right="13"/>
            <w:jc w:val="center"/>
            <w:rPr/>
          </w:pPr>
          <w:r>
            <w:rPr>
              <w:rFonts w:ascii="Arial" w:hAnsi="Arial"/>
              <w:b/>
              <w:sz w:val="9"/>
              <w:lang w:val="en-US"/>
            </w:rPr>
            <w:t>REGIONE</w:t>
          </w:r>
          <w:r>
            <w:rPr>
              <w:rFonts w:ascii="Arial" w:hAnsi="Arial"/>
              <w:b/>
              <w:spacing w:val="15"/>
              <w:sz w:val="9"/>
              <w:lang w:val="en-US"/>
            </w:rPr>
            <w:t xml:space="preserve"> </w:t>
          </w:r>
          <w:r>
            <w:rPr>
              <w:rFonts w:ascii="Arial" w:hAnsi="Arial"/>
              <w:b/>
              <w:sz w:val="9"/>
              <w:lang w:val="en-US"/>
            </w:rPr>
            <w:t>AUTÒNOMA</w:t>
          </w:r>
          <w:r>
            <w:rPr>
              <w:rFonts w:ascii="Arial" w:hAnsi="Arial"/>
              <w:b/>
              <w:spacing w:val="10"/>
              <w:sz w:val="9"/>
              <w:lang w:val="en-US"/>
            </w:rPr>
            <w:t xml:space="preserve"> </w:t>
          </w:r>
          <w:r>
            <w:rPr>
              <w:rFonts w:ascii="Arial" w:hAnsi="Arial"/>
              <w:b/>
              <w:sz w:val="9"/>
              <w:lang w:val="en-US"/>
            </w:rPr>
            <w:t>DE</w:t>
          </w:r>
          <w:r>
            <w:rPr>
              <w:rFonts w:ascii="Arial" w:hAnsi="Arial"/>
              <w:b/>
              <w:spacing w:val="16"/>
              <w:sz w:val="9"/>
              <w:lang w:val="en-US"/>
            </w:rPr>
            <w:t xml:space="preserve"> </w:t>
          </w:r>
          <w:r>
            <w:rPr>
              <w:rFonts w:ascii="Arial" w:hAnsi="Arial"/>
              <w:b/>
              <w:spacing w:val="-2"/>
              <w:sz w:val="9"/>
              <w:lang w:val="en-US"/>
            </w:rPr>
            <w:t>SARDIGNA</w:t>
          </w:r>
        </w:p>
      </w:tc>
    </w:tr>
    <w:tr>
      <w:trPr>
        <w:trHeight w:val="218" w:hRule="atLeast"/>
      </w:trPr>
      <w:tc>
        <w:tcPr>
          <w:tcW w:w="4170" w:type="dxa"/>
          <w:tcBorders>
            <w:left w:val="single" w:sz="4" w:space="0" w:color="000000"/>
            <w:right w:val="single" w:sz="4" w:space="0" w:color="000000"/>
          </w:tcBorders>
        </w:tcPr>
        <w:p>
          <w:pPr>
            <w:pStyle w:val="TableParagraph"/>
            <w:spacing w:before="0" w:after="0"/>
            <w:ind w:left="0"/>
            <w:rPr>
              <w:rFonts w:ascii="Times New Roman" w:hAnsi="Times New Roman"/>
              <w:sz w:val="14"/>
            </w:rPr>
          </w:pPr>
          <w:r>
            <w:rPr>
              <w:rFonts w:ascii="Times New Roman" w:hAnsi="Times New Roman"/>
              <w:sz w:val="14"/>
            </w:rPr>
          </w:r>
        </w:p>
      </w:tc>
      <w:tc>
        <w:tcPr>
          <w:tcW w:w="5467" w:type="dxa"/>
          <w:tcBorders>
            <w:left w:val="single" w:sz="4" w:space="0" w:color="000000"/>
            <w:right w:val="single" w:sz="4" w:space="0" w:color="000000"/>
          </w:tcBorders>
        </w:tcPr>
        <w:p>
          <w:pPr>
            <w:pStyle w:val="TableParagraph"/>
            <w:spacing w:before="67" w:after="0"/>
            <w:ind w:left="12" w:right="15"/>
            <w:jc w:val="center"/>
            <w:rPr/>
          </w:pPr>
          <w:r>
            <w:rPr>
              <w:rFonts w:ascii="Arial" w:hAnsi="Arial"/>
              <w:b/>
              <w:sz w:val="9"/>
              <w:lang w:val="en-US"/>
            </w:rPr>
            <w:t>REGIONE</w:t>
          </w:r>
          <w:r>
            <w:rPr>
              <w:rFonts w:ascii="Arial" w:hAnsi="Arial"/>
              <w:b/>
              <w:spacing w:val="16"/>
              <w:sz w:val="9"/>
              <w:lang w:val="en-US"/>
            </w:rPr>
            <w:t xml:space="preserve"> </w:t>
          </w:r>
          <w:r>
            <w:rPr>
              <w:rFonts w:ascii="Arial" w:hAnsi="Arial"/>
              <w:b/>
              <w:sz w:val="9"/>
              <w:lang w:val="en-US"/>
            </w:rPr>
            <w:t>AUTONOMA</w:t>
          </w:r>
          <w:r>
            <w:rPr>
              <w:rFonts w:ascii="Arial" w:hAnsi="Arial"/>
              <w:b/>
              <w:spacing w:val="12"/>
              <w:sz w:val="9"/>
              <w:lang w:val="en-US"/>
            </w:rPr>
            <w:t xml:space="preserve"> </w:t>
          </w:r>
          <w:r>
            <w:rPr>
              <w:rFonts w:ascii="Arial" w:hAnsi="Arial"/>
              <w:b/>
              <w:sz w:val="9"/>
              <w:lang w:val="en-US"/>
            </w:rPr>
            <w:t>DELLA</w:t>
          </w:r>
          <w:r>
            <w:rPr>
              <w:rFonts w:ascii="Arial" w:hAnsi="Arial"/>
              <w:b/>
              <w:spacing w:val="11"/>
              <w:sz w:val="9"/>
              <w:lang w:val="en-US"/>
            </w:rPr>
            <w:t xml:space="preserve"> </w:t>
          </w:r>
          <w:r>
            <w:rPr>
              <w:rFonts w:ascii="Arial" w:hAnsi="Arial"/>
              <w:b/>
              <w:spacing w:val="-2"/>
              <w:sz w:val="9"/>
              <w:lang w:val="en-US"/>
            </w:rPr>
            <w:t>SARDEGNA</w:t>
          </w:r>
        </w:p>
      </w:tc>
    </w:tr>
    <w:tr>
      <w:trPr>
        <w:trHeight w:val="485" w:hRule="atLeast"/>
      </w:trPr>
      <w:tc>
        <w:tcPr>
          <w:tcW w:w="4170" w:type="dxa"/>
          <w:tcBorders>
            <w:left w:val="single" w:sz="4" w:space="0" w:color="000000"/>
            <w:right w:val="single" w:sz="4" w:space="0" w:color="000000"/>
          </w:tcBorders>
        </w:tcPr>
        <w:p>
          <w:pPr>
            <w:pStyle w:val="TableParagraph"/>
            <w:spacing w:before="102" w:after="0"/>
            <w:ind w:left="10"/>
            <w:jc w:val="center"/>
            <w:rPr/>
          </w:pPr>
          <w:r>
            <w:rPr>
              <w:rFonts w:ascii="Arial" w:hAnsi="Arial"/>
              <w:b/>
              <w:sz w:val="20"/>
              <w:lang w:val="en-US"/>
            </w:rPr>
            <w:t>Città</w:t>
          </w:r>
          <w:r>
            <w:rPr>
              <w:rFonts w:ascii="Arial" w:hAnsi="Arial"/>
              <w:b/>
              <w:spacing w:val="-5"/>
              <w:sz w:val="20"/>
              <w:lang w:val="en-US"/>
            </w:rPr>
            <w:t xml:space="preserve"> </w:t>
          </w:r>
          <w:r>
            <w:rPr>
              <w:rFonts w:ascii="Arial" w:hAnsi="Arial"/>
              <w:b/>
              <w:sz w:val="20"/>
              <w:lang w:val="en-US"/>
            </w:rPr>
            <w:t>Metropolitana</w:t>
          </w:r>
          <w:r>
            <w:rPr>
              <w:rFonts w:ascii="Arial" w:hAnsi="Arial"/>
              <w:b/>
              <w:spacing w:val="-5"/>
              <w:sz w:val="20"/>
              <w:lang w:val="en-US"/>
            </w:rPr>
            <w:t xml:space="preserve"> </w:t>
          </w:r>
          <w:r>
            <w:rPr>
              <w:rFonts w:ascii="Arial" w:hAnsi="Arial"/>
              <w:b/>
              <w:sz w:val="20"/>
              <w:lang w:val="en-US"/>
            </w:rPr>
            <w:t>di</w:t>
          </w:r>
          <w:r>
            <w:rPr>
              <w:rFonts w:ascii="Arial" w:hAnsi="Arial"/>
              <w:b/>
              <w:spacing w:val="-4"/>
              <w:sz w:val="20"/>
              <w:lang w:val="en-US"/>
            </w:rPr>
            <w:t xml:space="preserve"> </w:t>
          </w:r>
          <w:r>
            <w:rPr>
              <w:rFonts w:ascii="Arial" w:hAnsi="Arial"/>
              <w:b/>
              <w:spacing w:val="-2"/>
              <w:sz w:val="20"/>
              <w:lang w:val="en-US"/>
            </w:rPr>
            <w:t>Cagliari</w:t>
          </w:r>
        </w:p>
      </w:tc>
      <w:tc>
        <w:tcPr>
          <w:tcW w:w="5467" w:type="dxa"/>
          <w:tcBorders>
            <w:left w:val="single" w:sz="4" w:space="0" w:color="000000"/>
            <w:right w:val="single" w:sz="4" w:space="0" w:color="000000"/>
          </w:tcBorders>
        </w:tcPr>
        <w:p>
          <w:pPr>
            <w:pStyle w:val="TableParagraph"/>
            <w:spacing w:before="42" w:after="0"/>
            <w:ind w:left="0" w:right="359"/>
            <w:jc w:val="right"/>
            <w:rPr/>
          </w:pPr>
          <w:r>
            <w:rPr>
              <w:sz w:val="14"/>
              <w:lang w:val="en-US"/>
            </w:rPr>
            <w:t>AGENTZIA</w:t>
          </w:r>
          <w:r>
            <w:rPr>
              <w:spacing w:val="-7"/>
              <w:sz w:val="14"/>
              <w:lang w:val="en-US"/>
            </w:rPr>
            <w:t xml:space="preserve"> </w:t>
          </w:r>
          <w:r>
            <w:rPr>
              <w:sz w:val="14"/>
              <w:lang w:val="en-US"/>
            </w:rPr>
            <w:t>REGIONALE</w:t>
          </w:r>
          <w:r>
            <w:rPr>
              <w:spacing w:val="-2"/>
              <w:sz w:val="14"/>
              <w:lang w:val="en-US"/>
            </w:rPr>
            <w:t xml:space="preserve"> </w:t>
          </w:r>
          <w:r>
            <w:rPr>
              <w:sz w:val="14"/>
              <w:lang w:val="en-US"/>
            </w:rPr>
            <w:t>PRO</w:t>
          </w:r>
          <w:r>
            <w:rPr>
              <w:spacing w:val="-3"/>
              <w:sz w:val="14"/>
              <w:lang w:val="en-US"/>
            </w:rPr>
            <w:t xml:space="preserve"> </w:t>
          </w:r>
          <w:r>
            <w:rPr>
              <w:sz w:val="14"/>
              <w:lang w:val="en-US"/>
            </w:rPr>
            <w:t>S’AMPARU</w:t>
          </w:r>
          <w:r>
            <w:rPr>
              <w:spacing w:val="-4"/>
              <w:sz w:val="14"/>
              <w:lang w:val="en-US"/>
            </w:rPr>
            <w:t xml:space="preserve"> </w:t>
          </w:r>
          <w:r>
            <w:rPr>
              <w:sz w:val="14"/>
              <w:lang w:val="en-US"/>
            </w:rPr>
            <w:t>DE</w:t>
          </w:r>
          <w:r>
            <w:rPr>
              <w:spacing w:val="-4"/>
              <w:sz w:val="14"/>
              <w:lang w:val="en-US"/>
            </w:rPr>
            <w:t xml:space="preserve"> </w:t>
          </w:r>
          <w:r>
            <w:rPr>
              <w:sz w:val="14"/>
              <w:lang w:val="en-US"/>
            </w:rPr>
            <w:t>S’AMBIENTE</w:t>
          </w:r>
          <w:r>
            <w:rPr>
              <w:spacing w:val="-4"/>
              <w:sz w:val="14"/>
              <w:lang w:val="en-US"/>
            </w:rPr>
            <w:t xml:space="preserve"> </w:t>
          </w:r>
          <w:r>
            <w:rPr>
              <w:sz w:val="14"/>
              <w:lang w:val="en-US"/>
            </w:rPr>
            <w:t>DE</w:t>
          </w:r>
          <w:r>
            <w:rPr>
              <w:spacing w:val="-4"/>
              <w:sz w:val="14"/>
              <w:lang w:val="en-US"/>
            </w:rPr>
            <w:t xml:space="preserve"> </w:t>
          </w:r>
          <w:r>
            <w:rPr>
              <w:spacing w:val="-2"/>
              <w:sz w:val="14"/>
              <w:lang w:val="en-US"/>
            </w:rPr>
            <w:t>SARDIGNA</w:t>
          </w:r>
        </w:p>
        <w:p>
          <w:pPr>
            <w:pStyle w:val="TableParagraph"/>
            <w:spacing w:before="79" w:after="0"/>
            <w:ind w:left="0" w:right="441"/>
            <w:jc w:val="right"/>
            <w:rPr/>
          </w:pPr>
          <w:r>
            <w:rPr>
              <w:sz w:val="14"/>
              <w:lang w:val="en-US"/>
            </w:rPr>
            <w:t>AGENZIA</w:t>
          </w:r>
          <w:r>
            <w:rPr>
              <w:spacing w:val="-6"/>
              <w:sz w:val="14"/>
              <w:lang w:val="en-US"/>
            </w:rPr>
            <w:t xml:space="preserve"> </w:t>
          </w:r>
          <w:r>
            <w:rPr>
              <w:sz w:val="14"/>
              <w:lang w:val="en-US"/>
            </w:rPr>
            <w:t>REGIONALE</w:t>
          </w:r>
          <w:r>
            <w:rPr>
              <w:spacing w:val="-5"/>
              <w:sz w:val="14"/>
              <w:lang w:val="en-US"/>
            </w:rPr>
            <w:t xml:space="preserve"> </w:t>
          </w:r>
          <w:r>
            <w:rPr>
              <w:sz w:val="14"/>
              <w:lang w:val="en-US"/>
            </w:rPr>
            <w:t>PER</w:t>
          </w:r>
          <w:r>
            <w:rPr>
              <w:spacing w:val="-5"/>
              <w:sz w:val="14"/>
              <w:lang w:val="en-US"/>
            </w:rPr>
            <w:t xml:space="preserve"> </w:t>
          </w:r>
          <w:r>
            <w:rPr>
              <w:sz w:val="14"/>
              <w:lang w:val="en-US"/>
            </w:rPr>
            <w:t>LA</w:t>
          </w:r>
          <w:r>
            <w:rPr>
              <w:spacing w:val="-5"/>
              <w:sz w:val="14"/>
              <w:lang w:val="en-US"/>
            </w:rPr>
            <w:t xml:space="preserve"> </w:t>
          </w:r>
          <w:r>
            <w:rPr>
              <w:sz w:val="14"/>
              <w:lang w:val="en-US"/>
            </w:rPr>
            <w:t>PROTEZIONE</w:t>
          </w:r>
          <w:r>
            <w:rPr>
              <w:spacing w:val="-3"/>
              <w:sz w:val="14"/>
              <w:lang w:val="en-US"/>
            </w:rPr>
            <w:t xml:space="preserve"> </w:t>
          </w:r>
          <w:r>
            <w:rPr>
              <w:sz w:val="14"/>
              <w:lang w:val="en-US"/>
            </w:rPr>
            <w:t>DELL’AMBIENTE</w:t>
          </w:r>
          <w:r>
            <w:rPr>
              <w:spacing w:val="-3"/>
              <w:sz w:val="14"/>
              <w:lang w:val="en-US"/>
            </w:rPr>
            <w:t xml:space="preserve"> </w:t>
          </w:r>
          <w:r>
            <w:rPr>
              <w:spacing w:val="-4"/>
              <w:sz w:val="14"/>
              <w:lang w:val="en-US"/>
            </w:rPr>
            <w:t>DELLA</w:t>
          </w:r>
        </w:p>
      </w:tc>
    </w:tr>
    <w:tr>
      <w:trPr>
        <w:trHeight w:val="193" w:hRule="atLeast"/>
      </w:trPr>
      <w:tc>
        <w:tcPr>
          <w:tcW w:w="4170" w:type="dxa"/>
          <w:tcBorders>
            <w:left w:val="single" w:sz="4" w:space="0" w:color="000000"/>
            <w:right w:val="single" w:sz="4" w:space="0" w:color="000000"/>
          </w:tcBorders>
        </w:tcPr>
        <w:p>
          <w:pPr>
            <w:pStyle w:val="TableParagraph"/>
            <w:spacing w:before="0" w:after="0"/>
            <w:ind w:left="0"/>
            <w:rPr>
              <w:rFonts w:ascii="Times New Roman" w:hAnsi="Times New Roman"/>
              <w:sz w:val="12"/>
            </w:rPr>
          </w:pPr>
          <w:r>
            <w:rPr>
              <w:rFonts w:ascii="Times New Roman" w:hAnsi="Times New Roman"/>
              <w:sz w:val="12"/>
            </w:rPr>
          </w:r>
        </w:p>
      </w:tc>
      <w:tc>
        <w:tcPr>
          <w:tcW w:w="5467" w:type="dxa"/>
          <w:tcBorders>
            <w:left w:val="single" w:sz="4" w:space="0" w:color="000000"/>
            <w:right w:val="single" w:sz="4" w:space="0" w:color="000000"/>
          </w:tcBorders>
        </w:tcPr>
        <w:p>
          <w:pPr>
            <w:pStyle w:val="TableParagraph"/>
            <w:spacing w:lineRule="exact" w:line="137" w:before="37" w:after="0"/>
            <w:ind w:left="15" w:right="3"/>
            <w:jc w:val="center"/>
            <w:rPr/>
          </w:pPr>
          <w:r>
            <w:rPr>
              <w:spacing w:val="-2"/>
              <w:sz w:val="14"/>
              <w:lang w:val="en-US"/>
            </w:rPr>
            <w:t>SARDEGNA</w:t>
          </w:r>
        </w:p>
      </w:tc>
    </w:tr>
    <w:tr>
      <w:trPr>
        <w:trHeight w:val="243" w:hRule="atLeast"/>
      </w:trPr>
      <w:tc>
        <w:tcPr>
          <w:tcW w:w="4170" w:type="dxa"/>
          <w:tcBorders>
            <w:left w:val="single" w:sz="4" w:space="0" w:color="000000"/>
            <w:right w:val="single" w:sz="4" w:space="0" w:color="000000"/>
          </w:tcBorders>
        </w:tcPr>
        <w:p>
          <w:pPr>
            <w:pStyle w:val="TableParagraph"/>
            <w:spacing w:lineRule="exact" w:line="219" w:before="0" w:after="0"/>
            <w:ind w:left="10"/>
            <w:jc w:val="center"/>
            <w:rPr/>
          </w:pPr>
          <w:r>
            <w:rPr>
              <w:sz w:val="20"/>
              <w:lang w:val="en-US"/>
            </w:rPr>
            <w:t>Settore</w:t>
          </w:r>
          <w:r>
            <w:rPr>
              <w:spacing w:val="-5"/>
              <w:sz w:val="20"/>
              <w:lang w:val="en-US"/>
            </w:rPr>
            <w:t xml:space="preserve"> </w:t>
          </w:r>
          <w:r>
            <w:rPr>
              <w:spacing w:val="-2"/>
              <w:sz w:val="20"/>
              <w:lang w:val="en-US"/>
            </w:rPr>
            <w:t>Ambiente</w:t>
          </w:r>
        </w:p>
      </w:tc>
      <w:tc>
        <w:tcPr>
          <w:tcW w:w="5467" w:type="dxa"/>
          <w:tcBorders>
            <w:left w:val="single" w:sz="4" w:space="0" w:color="000000"/>
            <w:right w:val="single" w:sz="4" w:space="0" w:color="000000"/>
          </w:tcBorders>
        </w:tcPr>
        <w:p>
          <w:pPr>
            <w:pStyle w:val="TableParagraph"/>
            <w:spacing w:lineRule="exact" w:line="177" w:before="46" w:after="0"/>
            <w:ind w:left="13" w:right="3"/>
            <w:jc w:val="center"/>
            <w:rPr/>
          </w:pPr>
          <w:r>
            <w:rPr>
              <w:rFonts w:ascii="Arial Black" w:hAnsi="Arial Black"/>
              <w:spacing w:val="-2"/>
              <w:sz w:val="14"/>
              <w:lang w:val="en-US"/>
            </w:rPr>
            <w:t>ARPAS</w:t>
          </w:r>
        </w:p>
      </w:tc>
    </w:tr>
    <w:tr>
      <w:trPr>
        <w:trHeight w:val="195" w:hRule="atLeast"/>
      </w:trPr>
      <w:tc>
        <w:tcPr>
          <w:tcW w:w="4170" w:type="dxa"/>
          <w:tcBorders>
            <w:left w:val="single" w:sz="4" w:space="0" w:color="000000"/>
            <w:bottom w:val="single" w:sz="4" w:space="0" w:color="000000"/>
            <w:right w:val="single" w:sz="4" w:space="0" w:color="000000"/>
          </w:tcBorders>
        </w:tcPr>
        <w:p>
          <w:pPr>
            <w:pStyle w:val="TableParagraph"/>
            <w:spacing w:before="0" w:after="0"/>
            <w:ind w:left="0"/>
            <w:rPr>
              <w:rFonts w:ascii="Times New Roman" w:hAnsi="Times New Roman"/>
              <w:sz w:val="12"/>
            </w:rPr>
          </w:pPr>
          <w:r>
            <w:rPr>
              <w:rFonts w:ascii="Times New Roman" w:hAnsi="Times New Roman"/>
              <w:sz w:val="12"/>
            </w:rPr>
          </w:r>
        </w:p>
      </w:tc>
      <w:tc>
        <w:tcPr>
          <w:tcW w:w="5467" w:type="dxa"/>
          <w:tcBorders>
            <w:left w:val="single" w:sz="4" w:space="0" w:color="000000"/>
            <w:bottom w:val="single" w:sz="4" w:space="0" w:color="000000"/>
            <w:right w:val="single" w:sz="4" w:space="0" w:color="000000"/>
          </w:tcBorders>
        </w:tcPr>
        <w:p>
          <w:pPr>
            <w:pStyle w:val="TableParagraph"/>
            <w:spacing w:lineRule="exact" w:line="176" w:before="0" w:after="0"/>
            <w:ind w:left="12" w:right="3"/>
            <w:jc w:val="center"/>
            <w:rPr/>
          </w:pPr>
          <w:r>
            <w:rPr>
              <w:sz w:val="14"/>
              <w:lang w:val="en-US"/>
            </w:rPr>
            <w:t>Direzione</w:t>
          </w:r>
          <w:r>
            <w:rPr>
              <w:spacing w:val="-5"/>
              <w:sz w:val="14"/>
              <w:lang w:val="en-US"/>
            </w:rPr>
            <w:t xml:space="preserve"> </w:t>
          </w:r>
          <w:r>
            <w:rPr>
              <w:sz w:val="14"/>
              <w:lang w:val="en-US"/>
            </w:rPr>
            <w:t>Tecnico</w:t>
          </w:r>
          <w:r>
            <w:rPr>
              <w:spacing w:val="-5"/>
              <w:sz w:val="14"/>
              <w:lang w:val="en-US"/>
            </w:rPr>
            <w:t xml:space="preserve"> </w:t>
          </w:r>
          <w:r>
            <w:rPr>
              <w:sz w:val="14"/>
              <w:lang w:val="en-US"/>
            </w:rPr>
            <w:t>Scientifica</w:t>
          </w:r>
          <w:r>
            <w:rPr>
              <w:spacing w:val="-4"/>
              <w:sz w:val="14"/>
              <w:lang w:val="en-US"/>
            </w:rPr>
            <w:t xml:space="preserve"> </w:t>
          </w:r>
          <w:r>
            <w:rPr>
              <w:sz w:val="14"/>
              <w:lang w:val="en-US"/>
            </w:rPr>
            <w:t>-</w:t>
          </w:r>
          <w:r>
            <w:rPr>
              <w:spacing w:val="-5"/>
              <w:sz w:val="14"/>
              <w:lang w:val="en-US"/>
            </w:rPr>
            <w:t xml:space="preserve"> </w:t>
          </w:r>
          <w:r>
            <w:rPr>
              <w:sz w:val="14"/>
              <w:lang w:val="en-US"/>
            </w:rPr>
            <w:t>Servizio</w:t>
          </w:r>
          <w:r>
            <w:rPr>
              <w:spacing w:val="-2"/>
              <w:sz w:val="14"/>
              <w:lang w:val="en-US"/>
            </w:rPr>
            <w:t xml:space="preserve"> </w:t>
          </w:r>
          <w:r>
            <w:rPr>
              <w:rFonts w:ascii="Arial Black" w:hAnsi="Arial Black"/>
              <w:sz w:val="14"/>
              <w:lang w:val="en-US"/>
            </w:rPr>
            <w:t>Agenti</w:t>
          </w:r>
          <w:r>
            <w:rPr>
              <w:rFonts w:ascii="Arial Black" w:hAnsi="Arial Black"/>
              <w:spacing w:val="-6"/>
              <w:sz w:val="14"/>
              <w:lang w:val="en-US"/>
            </w:rPr>
            <w:t xml:space="preserve"> </w:t>
          </w:r>
          <w:r>
            <w:rPr>
              <w:rFonts w:ascii="Arial Black" w:hAnsi="Arial Black"/>
              <w:spacing w:val="-2"/>
              <w:sz w:val="14"/>
              <w:lang w:val="en-US"/>
            </w:rPr>
            <w:t>fisici</w:t>
          </w:r>
        </w:p>
      </w:tc>
    </w:tr>
  </w:tbl>
  <w:p>
    <w:pPr>
      <w:pStyle w:val="Head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9638" w:type="dxa"/>
      <w:jc w:val="left"/>
      <w:tblInd w:w="395" w:type="dxa"/>
      <w:tblLayout w:type="fixed"/>
      <w:tblCellMar>
        <w:top w:w="0" w:type="dxa"/>
        <w:left w:w="5" w:type="dxa"/>
        <w:bottom w:w="0" w:type="dxa"/>
        <w:right w:w="5" w:type="dxa"/>
      </w:tblCellMar>
      <w:tblLook w:firstRow="0" w:noVBand="0" w:lastRow="0" w:firstColumn="0" w:lastColumn="0" w:noHBand="0" w:val="0000"/>
    </w:tblPr>
    <w:tblGrid>
      <w:gridCol w:w="4170"/>
      <w:gridCol w:w="5467"/>
    </w:tblGrid>
    <w:tr>
      <w:trPr>
        <w:trHeight w:val="845" w:hRule="atLeast"/>
      </w:trPr>
      <w:tc>
        <w:tcPr>
          <w:tcW w:w="4170" w:type="dxa"/>
          <w:tcBorders>
            <w:top w:val="single" w:sz="6" w:space="0" w:color="000000"/>
            <w:left w:val="single" w:sz="4" w:space="0" w:color="000000"/>
            <w:bottom w:val="single" w:sz="6" w:space="0" w:color="000000"/>
            <w:right w:val="single" w:sz="4" w:space="0" w:color="000000"/>
          </w:tcBorders>
        </w:tcPr>
        <w:p>
          <w:pPr>
            <w:pStyle w:val="TableParagraph"/>
            <w:spacing w:before="8" w:after="0"/>
            <w:ind w:left="0"/>
            <w:rPr>
              <w:rFonts w:ascii="Times New Roman" w:hAnsi="Times New Roman"/>
              <w:sz w:val="7"/>
            </w:rPr>
          </w:pPr>
          <w:r>
            <w:rPr>
              <w:rFonts w:ascii="Times New Roman" w:hAnsi="Times New Roman"/>
              <w:sz w:val="7"/>
            </w:rPr>
          </w:r>
        </w:p>
        <w:p>
          <w:pPr>
            <w:pStyle w:val="TableParagraph"/>
            <w:spacing w:before="0" w:after="0"/>
            <w:ind w:left="1775"/>
            <w:rPr/>
          </w:pPr>
          <w:r>
            <w:rPr/>
            <w:drawing>
              <wp:inline distT="0" distB="0" distL="0" distR="0">
                <wp:extent cx="385445" cy="471805"/>
                <wp:effectExtent l="0" t="0" r="0" b="0"/>
                <wp:docPr id="25" name="Copia Copia Image 2 1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pia Copia Image 2 1 1" descr=""/>
                        <pic:cNvPicPr>
                          <a:picLocks noChangeAspect="1" noChangeArrowheads="1"/>
                        </pic:cNvPicPr>
                      </pic:nvPicPr>
                      <pic:blipFill>
                        <a:blip r:embed="rId1"/>
                        <a:stretch>
                          <a:fillRect/>
                        </a:stretch>
                      </pic:blipFill>
                      <pic:spPr bwMode="auto">
                        <a:xfrm>
                          <a:off x="0" y="0"/>
                          <a:ext cx="385445" cy="471805"/>
                        </a:xfrm>
                        <a:prstGeom prst="rect">
                          <a:avLst/>
                        </a:prstGeom>
                      </pic:spPr>
                    </pic:pic>
                  </a:graphicData>
                </a:graphic>
              </wp:inline>
            </w:drawing>
          </w:r>
        </w:p>
      </w:tc>
      <w:tc>
        <w:tcPr>
          <w:tcW w:w="5467" w:type="dxa"/>
          <w:tcBorders>
            <w:top w:val="single" w:sz="6" w:space="0" w:color="000000"/>
            <w:left w:val="single" w:sz="4" w:space="0" w:color="000000"/>
            <w:bottom w:val="single" w:sz="6" w:space="0" w:color="000000"/>
            <w:right w:val="single" w:sz="4" w:space="0" w:color="000000"/>
          </w:tcBorders>
        </w:tcPr>
        <w:p>
          <w:pPr>
            <w:pStyle w:val="TableParagraph"/>
            <w:spacing w:before="0" w:after="0"/>
            <w:ind w:left="2368"/>
            <w:rPr/>
          </w:pPr>
          <w:r>
            <w:rPr/>
            <w:drawing>
              <wp:inline distT="0" distB="0" distL="0" distR="0">
                <wp:extent cx="469265" cy="536575"/>
                <wp:effectExtent l="0" t="0" r="0" b="0"/>
                <wp:docPr id="26" name="Copia Copia Image 3 1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opia Copia Image 3 1 1" descr=""/>
                        <pic:cNvPicPr>
                          <a:picLocks noChangeAspect="1" noChangeArrowheads="1"/>
                        </pic:cNvPicPr>
                      </pic:nvPicPr>
                      <pic:blipFill>
                        <a:blip r:embed="rId2"/>
                        <a:stretch>
                          <a:fillRect/>
                        </a:stretch>
                      </pic:blipFill>
                      <pic:spPr bwMode="auto">
                        <a:xfrm>
                          <a:off x="0" y="0"/>
                          <a:ext cx="469265" cy="536575"/>
                        </a:xfrm>
                        <a:prstGeom prst="rect">
                          <a:avLst/>
                        </a:prstGeom>
                      </pic:spPr>
                    </pic:pic>
                  </a:graphicData>
                </a:graphic>
              </wp:inline>
            </w:drawing>
          </w:r>
        </w:p>
      </w:tc>
    </w:tr>
    <w:tr>
      <w:trPr>
        <w:trHeight w:val="296" w:hRule="atLeast"/>
      </w:trPr>
      <w:tc>
        <w:tcPr>
          <w:tcW w:w="4170" w:type="dxa"/>
          <w:tcBorders>
            <w:top w:val="single" w:sz="6" w:space="0" w:color="000000"/>
            <w:left w:val="single" w:sz="4" w:space="0" w:color="000000"/>
            <w:right w:val="single" w:sz="4" w:space="0" w:color="000000"/>
          </w:tcBorders>
        </w:tcPr>
        <w:p>
          <w:pPr>
            <w:pStyle w:val="TableParagraph"/>
            <w:spacing w:before="0" w:after="0"/>
            <w:ind w:left="0"/>
            <w:rPr>
              <w:rFonts w:ascii="Times New Roman" w:hAnsi="Times New Roman"/>
              <w:sz w:val="18"/>
            </w:rPr>
          </w:pPr>
          <w:r>
            <w:rPr>
              <w:rFonts w:ascii="Times New Roman" w:hAnsi="Times New Roman"/>
              <w:sz w:val="18"/>
            </w:rPr>
          </w:r>
        </w:p>
      </w:tc>
      <w:tc>
        <w:tcPr>
          <w:tcW w:w="5467" w:type="dxa"/>
          <w:tcBorders>
            <w:top w:val="single" w:sz="6" w:space="0" w:color="000000"/>
            <w:left w:val="single" w:sz="4" w:space="0" w:color="000000"/>
            <w:right w:val="single" w:sz="4" w:space="0" w:color="000000"/>
          </w:tcBorders>
        </w:tcPr>
        <w:p>
          <w:pPr>
            <w:pStyle w:val="TableParagraph"/>
            <w:spacing w:before="20" w:after="0"/>
            <w:ind w:left="0"/>
            <w:rPr>
              <w:rFonts w:ascii="Times New Roman" w:hAnsi="Times New Roman"/>
              <w:sz w:val="9"/>
            </w:rPr>
          </w:pPr>
          <w:r>
            <w:rPr>
              <w:rFonts w:ascii="Times New Roman" w:hAnsi="Times New Roman"/>
              <w:sz w:val="9"/>
            </w:rPr>
          </w:r>
        </w:p>
        <w:p>
          <w:pPr>
            <w:pStyle w:val="TableParagraph"/>
            <w:spacing w:before="0" w:after="0"/>
            <w:ind w:left="12" w:right="13"/>
            <w:jc w:val="center"/>
            <w:rPr/>
          </w:pPr>
          <w:r>
            <w:rPr>
              <w:rFonts w:ascii="Arial" w:hAnsi="Arial"/>
              <w:b/>
              <w:sz w:val="9"/>
              <w:lang w:val="en-US"/>
            </w:rPr>
            <w:t>REGIONE</w:t>
          </w:r>
          <w:r>
            <w:rPr>
              <w:rFonts w:ascii="Arial" w:hAnsi="Arial"/>
              <w:b/>
              <w:spacing w:val="15"/>
              <w:sz w:val="9"/>
              <w:lang w:val="en-US"/>
            </w:rPr>
            <w:t xml:space="preserve"> </w:t>
          </w:r>
          <w:r>
            <w:rPr>
              <w:rFonts w:ascii="Arial" w:hAnsi="Arial"/>
              <w:b/>
              <w:sz w:val="9"/>
              <w:lang w:val="en-US"/>
            </w:rPr>
            <w:t>AUTÒNOMA</w:t>
          </w:r>
          <w:r>
            <w:rPr>
              <w:rFonts w:ascii="Arial" w:hAnsi="Arial"/>
              <w:b/>
              <w:spacing w:val="10"/>
              <w:sz w:val="9"/>
              <w:lang w:val="en-US"/>
            </w:rPr>
            <w:t xml:space="preserve"> </w:t>
          </w:r>
          <w:r>
            <w:rPr>
              <w:rFonts w:ascii="Arial" w:hAnsi="Arial"/>
              <w:b/>
              <w:sz w:val="9"/>
              <w:lang w:val="en-US"/>
            </w:rPr>
            <w:t>DE</w:t>
          </w:r>
          <w:r>
            <w:rPr>
              <w:rFonts w:ascii="Arial" w:hAnsi="Arial"/>
              <w:b/>
              <w:spacing w:val="16"/>
              <w:sz w:val="9"/>
              <w:lang w:val="en-US"/>
            </w:rPr>
            <w:t xml:space="preserve"> </w:t>
          </w:r>
          <w:r>
            <w:rPr>
              <w:rFonts w:ascii="Arial" w:hAnsi="Arial"/>
              <w:b/>
              <w:spacing w:val="-2"/>
              <w:sz w:val="9"/>
              <w:lang w:val="en-US"/>
            </w:rPr>
            <w:t>SARDIGNA</w:t>
          </w:r>
        </w:p>
      </w:tc>
    </w:tr>
    <w:tr>
      <w:trPr>
        <w:trHeight w:val="218" w:hRule="atLeast"/>
      </w:trPr>
      <w:tc>
        <w:tcPr>
          <w:tcW w:w="4170" w:type="dxa"/>
          <w:tcBorders>
            <w:left w:val="single" w:sz="4" w:space="0" w:color="000000"/>
            <w:right w:val="single" w:sz="4" w:space="0" w:color="000000"/>
          </w:tcBorders>
        </w:tcPr>
        <w:p>
          <w:pPr>
            <w:pStyle w:val="TableParagraph"/>
            <w:spacing w:before="0" w:after="0"/>
            <w:ind w:left="0"/>
            <w:rPr>
              <w:rFonts w:ascii="Times New Roman" w:hAnsi="Times New Roman"/>
              <w:sz w:val="14"/>
            </w:rPr>
          </w:pPr>
          <w:r>
            <w:rPr>
              <w:rFonts w:ascii="Times New Roman" w:hAnsi="Times New Roman"/>
              <w:sz w:val="14"/>
            </w:rPr>
          </w:r>
        </w:p>
      </w:tc>
      <w:tc>
        <w:tcPr>
          <w:tcW w:w="5467" w:type="dxa"/>
          <w:tcBorders>
            <w:left w:val="single" w:sz="4" w:space="0" w:color="000000"/>
            <w:right w:val="single" w:sz="4" w:space="0" w:color="000000"/>
          </w:tcBorders>
        </w:tcPr>
        <w:p>
          <w:pPr>
            <w:pStyle w:val="TableParagraph"/>
            <w:spacing w:before="67" w:after="0"/>
            <w:ind w:left="12" w:right="15"/>
            <w:jc w:val="center"/>
            <w:rPr/>
          </w:pPr>
          <w:r>
            <w:rPr>
              <w:rFonts w:ascii="Arial" w:hAnsi="Arial"/>
              <w:b/>
              <w:sz w:val="9"/>
              <w:lang w:val="en-US"/>
            </w:rPr>
            <w:t>REGIONE</w:t>
          </w:r>
          <w:r>
            <w:rPr>
              <w:rFonts w:ascii="Arial" w:hAnsi="Arial"/>
              <w:b/>
              <w:spacing w:val="16"/>
              <w:sz w:val="9"/>
              <w:lang w:val="en-US"/>
            </w:rPr>
            <w:t xml:space="preserve"> </w:t>
          </w:r>
          <w:r>
            <w:rPr>
              <w:rFonts w:ascii="Arial" w:hAnsi="Arial"/>
              <w:b/>
              <w:sz w:val="9"/>
              <w:lang w:val="en-US"/>
            </w:rPr>
            <w:t>AUTONOMA</w:t>
          </w:r>
          <w:r>
            <w:rPr>
              <w:rFonts w:ascii="Arial" w:hAnsi="Arial"/>
              <w:b/>
              <w:spacing w:val="12"/>
              <w:sz w:val="9"/>
              <w:lang w:val="en-US"/>
            </w:rPr>
            <w:t xml:space="preserve"> </w:t>
          </w:r>
          <w:r>
            <w:rPr>
              <w:rFonts w:ascii="Arial" w:hAnsi="Arial"/>
              <w:b/>
              <w:sz w:val="9"/>
              <w:lang w:val="en-US"/>
            </w:rPr>
            <w:t>DELLA</w:t>
          </w:r>
          <w:r>
            <w:rPr>
              <w:rFonts w:ascii="Arial" w:hAnsi="Arial"/>
              <w:b/>
              <w:spacing w:val="11"/>
              <w:sz w:val="9"/>
              <w:lang w:val="en-US"/>
            </w:rPr>
            <w:t xml:space="preserve"> </w:t>
          </w:r>
          <w:r>
            <w:rPr>
              <w:rFonts w:ascii="Arial" w:hAnsi="Arial"/>
              <w:b/>
              <w:spacing w:val="-2"/>
              <w:sz w:val="9"/>
              <w:lang w:val="en-US"/>
            </w:rPr>
            <w:t>SARDEGNA</w:t>
          </w:r>
        </w:p>
      </w:tc>
    </w:tr>
    <w:tr>
      <w:trPr>
        <w:trHeight w:val="485" w:hRule="atLeast"/>
      </w:trPr>
      <w:tc>
        <w:tcPr>
          <w:tcW w:w="4170" w:type="dxa"/>
          <w:tcBorders>
            <w:left w:val="single" w:sz="4" w:space="0" w:color="000000"/>
            <w:right w:val="single" w:sz="4" w:space="0" w:color="000000"/>
          </w:tcBorders>
        </w:tcPr>
        <w:p>
          <w:pPr>
            <w:pStyle w:val="TableParagraph"/>
            <w:spacing w:before="102" w:after="0"/>
            <w:ind w:left="10"/>
            <w:jc w:val="center"/>
            <w:rPr/>
          </w:pPr>
          <w:r>
            <w:rPr>
              <w:rFonts w:ascii="Arial" w:hAnsi="Arial"/>
              <w:b/>
              <w:sz w:val="20"/>
              <w:lang w:val="en-US"/>
            </w:rPr>
            <w:t>Città</w:t>
          </w:r>
          <w:r>
            <w:rPr>
              <w:rFonts w:ascii="Arial" w:hAnsi="Arial"/>
              <w:b/>
              <w:spacing w:val="-5"/>
              <w:sz w:val="20"/>
              <w:lang w:val="en-US"/>
            </w:rPr>
            <w:t xml:space="preserve"> </w:t>
          </w:r>
          <w:r>
            <w:rPr>
              <w:rFonts w:ascii="Arial" w:hAnsi="Arial"/>
              <w:b/>
              <w:sz w:val="20"/>
              <w:lang w:val="en-US"/>
            </w:rPr>
            <w:t>Metropolitana</w:t>
          </w:r>
          <w:r>
            <w:rPr>
              <w:rFonts w:ascii="Arial" w:hAnsi="Arial"/>
              <w:b/>
              <w:spacing w:val="-5"/>
              <w:sz w:val="20"/>
              <w:lang w:val="en-US"/>
            </w:rPr>
            <w:t xml:space="preserve"> </w:t>
          </w:r>
          <w:r>
            <w:rPr>
              <w:rFonts w:ascii="Arial" w:hAnsi="Arial"/>
              <w:b/>
              <w:sz w:val="20"/>
              <w:lang w:val="en-US"/>
            </w:rPr>
            <w:t>di</w:t>
          </w:r>
          <w:r>
            <w:rPr>
              <w:rFonts w:ascii="Arial" w:hAnsi="Arial"/>
              <w:b/>
              <w:spacing w:val="-4"/>
              <w:sz w:val="20"/>
              <w:lang w:val="en-US"/>
            </w:rPr>
            <w:t xml:space="preserve"> </w:t>
          </w:r>
          <w:r>
            <w:rPr>
              <w:rFonts w:ascii="Arial" w:hAnsi="Arial"/>
              <w:b/>
              <w:spacing w:val="-2"/>
              <w:sz w:val="20"/>
              <w:lang w:val="en-US"/>
            </w:rPr>
            <w:t>Cagliari</w:t>
          </w:r>
        </w:p>
      </w:tc>
      <w:tc>
        <w:tcPr>
          <w:tcW w:w="5467" w:type="dxa"/>
          <w:tcBorders>
            <w:left w:val="single" w:sz="4" w:space="0" w:color="000000"/>
            <w:right w:val="single" w:sz="4" w:space="0" w:color="000000"/>
          </w:tcBorders>
        </w:tcPr>
        <w:p>
          <w:pPr>
            <w:pStyle w:val="TableParagraph"/>
            <w:spacing w:before="42" w:after="0"/>
            <w:ind w:left="0" w:right="359"/>
            <w:jc w:val="right"/>
            <w:rPr/>
          </w:pPr>
          <w:r>
            <w:rPr>
              <w:sz w:val="14"/>
              <w:lang w:val="en-US"/>
            </w:rPr>
            <w:t>AGENTZIA</w:t>
          </w:r>
          <w:r>
            <w:rPr>
              <w:spacing w:val="-7"/>
              <w:sz w:val="14"/>
              <w:lang w:val="en-US"/>
            </w:rPr>
            <w:t xml:space="preserve"> </w:t>
          </w:r>
          <w:r>
            <w:rPr>
              <w:sz w:val="14"/>
              <w:lang w:val="en-US"/>
            </w:rPr>
            <w:t>REGIONALE</w:t>
          </w:r>
          <w:r>
            <w:rPr>
              <w:spacing w:val="-2"/>
              <w:sz w:val="14"/>
              <w:lang w:val="en-US"/>
            </w:rPr>
            <w:t xml:space="preserve"> </w:t>
          </w:r>
          <w:r>
            <w:rPr>
              <w:sz w:val="14"/>
              <w:lang w:val="en-US"/>
            </w:rPr>
            <w:t>PRO</w:t>
          </w:r>
          <w:r>
            <w:rPr>
              <w:spacing w:val="-3"/>
              <w:sz w:val="14"/>
              <w:lang w:val="en-US"/>
            </w:rPr>
            <w:t xml:space="preserve"> </w:t>
          </w:r>
          <w:r>
            <w:rPr>
              <w:sz w:val="14"/>
              <w:lang w:val="en-US"/>
            </w:rPr>
            <w:t>S’AMPARU</w:t>
          </w:r>
          <w:r>
            <w:rPr>
              <w:spacing w:val="-4"/>
              <w:sz w:val="14"/>
              <w:lang w:val="en-US"/>
            </w:rPr>
            <w:t xml:space="preserve"> </w:t>
          </w:r>
          <w:r>
            <w:rPr>
              <w:sz w:val="14"/>
              <w:lang w:val="en-US"/>
            </w:rPr>
            <w:t>DE</w:t>
          </w:r>
          <w:r>
            <w:rPr>
              <w:spacing w:val="-4"/>
              <w:sz w:val="14"/>
              <w:lang w:val="en-US"/>
            </w:rPr>
            <w:t xml:space="preserve"> </w:t>
          </w:r>
          <w:r>
            <w:rPr>
              <w:sz w:val="14"/>
              <w:lang w:val="en-US"/>
            </w:rPr>
            <w:t>S’AMBIENTE</w:t>
          </w:r>
          <w:r>
            <w:rPr>
              <w:spacing w:val="-4"/>
              <w:sz w:val="14"/>
              <w:lang w:val="en-US"/>
            </w:rPr>
            <w:t xml:space="preserve"> </w:t>
          </w:r>
          <w:r>
            <w:rPr>
              <w:sz w:val="14"/>
              <w:lang w:val="en-US"/>
            </w:rPr>
            <w:t>DE</w:t>
          </w:r>
          <w:r>
            <w:rPr>
              <w:spacing w:val="-4"/>
              <w:sz w:val="14"/>
              <w:lang w:val="en-US"/>
            </w:rPr>
            <w:t xml:space="preserve"> </w:t>
          </w:r>
          <w:r>
            <w:rPr>
              <w:spacing w:val="-2"/>
              <w:sz w:val="14"/>
              <w:lang w:val="en-US"/>
            </w:rPr>
            <w:t>SARDIGNA</w:t>
          </w:r>
        </w:p>
        <w:p>
          <w:pPr>
            <w:pStyle w:val="TableParagraph"/>
            <w:spacing w:before="79" w:after="0"/>
            <w:ind w:left="0" w:right="441"/>
            <w:jc w:val="right"/>
            <w:rPr/>
          </w:pPr>
          <w:r>
            <w:rPr>
              <w:sz w:val="14"/>
              <w:lang w:val="en-US"/>
            </w:rPr>
            <w:t>AGENZIA</w:t>
          </w:r>
          <w:r>
            <w:rPr>
              <w:spacing w:val="-6"/>
              <w:sz w:val="14"/>
              <w:lang w:val="en-US"/>
            </w:rPr>
            <w:t xml:space="preserve"> </w:t>
          </w:r>
          <w:r>
            <w:rPr>
              <w:sz w:val="14"/>
              <w:lang w:val="en-US"/>
            </w:rPr>
            <w:t>REGIONALE</w:t>
          </w:r>
          <w:r>
            <w:rPr>
              <w:spacing w:val="-5"/>
              <w:sz w:val="14"/>
              <w:lang w:val="en-US"/>
            </w:rPr>
            <w:t xml:space="preserve"> </w:t>
          </w:r>
          <w:r>
            <w:rPr>
              <w:sz w:val="14"/>
              <w:lang w:val="en-US"/>
            </w:rPr>
            <w:t>PER</w:t>
          </w:r>
          <w:r>
            <w:rPr>
              <w:spacing w:val="-5"/>
              <w:sz w:val="14"/>
              <w:lang w:val="en-US"/>
            </w:rPr>
            <w:t xml:space="preserve"> </w:t>
          </w:r>
          <w:r>
            <w:rPr>
              <w:sz w:val="14"/>
              <w:lang w:val="en-US"/>
            </w:rPr>
            <w:t>LA</w:t>
          </w:r>
          <w:r>
            <w:rPr>
              <w:spacing w:val="-5"/>
              <w:sz w:val="14"/>
              <w:lang w:val="en-US"/>
            </w:rPr>
            <w:t xml:space="preserve"> </w:t>
          </w:r>
          <w:r>
            <w:rPr>
              <w:sz w:val="14"/>
              <w:lang w:val="en-US"/>
            </w:rPr>
            <w:t>PROTEZIONE</w:t>
          </w:r>
          <w:r>
            <w:rPr>
              <w:spacing w:val="-3"/>
              <w:sz w:val="14"/>
              <w:lang w:val="en-US"/>
            </w:rPr>
            <w:t xml:space="preserve"> </w:t>
          </w:r>
          <w:r>
            <w:rPr>
              <w:sz w:val="14"/>
              <w:lang w:val="en-US"/>
            </w:rPr>
            <w:t>DELL’AMBIENTE</w:t>
          </w:r>
          <w:r>
            <w:rPr>
              <w:spacing w:val="-3"/>
              <w:sz w:val="14"/>
              <w:lang w:val="en-US"/>
            </w:rPr>
            <w:t xml:space="preserve"> </w:t>
          </w:r>
          <w:r>
            <w:rPr>
              <w:spacing w:val="-4"/>
              <w:sz w:val="14"/>
              <w:lang w:val="en-US"/>
            </w:rPr>
            <w:t>DELLA</w:t>
          </w:r>
        </w:p>
      </w:tc>
    </w:tr>
    <w:tr>
      <w:trPr>
        <w:trHeight w:val="193" w:hRule="atLeast"/>
      </w:trPr>
      <w:tc>
        <w:tcPr>
          <w:tcW w:w="4170" w:type="dxa"/>
          <w:tcBorders>
            <w:left w:val="single" w:sz="4" w:space="0" w:color="000000"/>
            <w:right w:val="single" w:sz="4" w:space="0" w:color="000000"/>
          </w:tcBorders>
        </w:tcPr>
        <w:p>
          <w:pPr>
            <w:pStyle w:val="TableParagraph"/>
            <w:spacing w:before="0" w:after="0"/>
            <w:ind w:left="0"/>
            <w:rPr>
              <w:rFonts w:ascii="Times New Roman" w:hAnsi="Times New Roman"/>
              <w:sz w:val="12"/>
            </w:rPr>
          </w:pPr>
          <w:r>
            <w:rPr>
              <w:rFonts w:ascii="Times New Roman" w:hAnsi="Times New Roman"/>
              <w:sz w:val="12"/>
            </w:rPr>
          </w:r>
        </w:p>
      </w:tc>
      <w:tc>
        <w:tcPr>
          <w:tcW w:w="5467" w:type="dxa"/>
          <w:tcBorders>
            <w:left w:val="single" w:sz="4" w:space="0" w:color="000000"/>
            <w:right w:val="single" w:sz="4" w:space="0" w:color="000000"/>
          </w:tcBorders>
        </w:tcPr>
        <w:p>
          <w:pPr>
            <w:pStyle w:val="TableParagraph"/>
            <w:spacing w:lineRule="exact" w:line="137" w:before="37" w:after="0"/>
            <w:ind w:left="15" w:right="3"/>
            <w:jc w:val="center"/>
            <w:rPr/>
          </w:pPr>
          <w:r>
            <w:rPr>
              <w:spacing w:val="-2"/>
              <w:sz w:val="14"/>
              <w:lang w:val="en-US"/>
            </w:rPr>
            <w:t>SARDEGNA</w:t>
          </w:r>
        </w:p>
      </w:tc>
    </w:tr>
    <w:tr>
      <w:trPr>
        <w:trHeight w:val="243" w:hRule="atLeast"/>
      </w:trPr>
      <w:tc>
        <w:tcPr>
          <w:tcW w:w="4170" w:type="dxa"/>
          <w:tcBorders>
            <w:left w:val="single" w:sz="4" w:space="0" w:color="000000"/>
            <w:right w:val="single" w:sz="4" w:space="0" w:color="000000"/>
          </w:tcBorders>
        </w:tcPr>
        <w:p>
          <w:pPr>
            <w:pStyle w:val="TableParagraph"/>
            <w:spacing w:lineRule="exact" w:line="219" w:before="0" w:after="0"/>
            <w:ind w:left="10"/>
            <w:jc w:val="center"/>
            <w:rPr/>
          </w:pPr>
          <w:r>
            <w:rPr>
              <w:sz w:val="20"/>
              <w:lang w:val="en-US"/>
            </w:rPr>
            <w:t>Settore</w:t>
          </w:r>
          <w:r>
            <w:rPr>
              <w:spacing w:val="-5"/>
              <w:sz w:val="20"/>
              <w:lang w:val="en-US"/>
            </w:rPr>
            <w:t xml:space="preserve"> </w:t>
          </w:r>
          <w:r>
            <w:rPr>
              <w:spacing w:val="-2"/>
              <w:sz w:val="20"/>
              <w:lang w:val="en-US"/>
            </w:rPr>
            <w:t>Ambiente</w:t>
          </w:r>
        </w:p>
      </w:tc>
      <w:tc>
        <w:tcPr>
          <w:tcW w:w="5467" w:type="dxa"/>
          <w:tcBorders>
            <w:left w:val="single" w:sz="4" w:space="0" w:color="000000"/>
            <w:right w:val="single" w:sz="4" w:space="0" w:color="000000"/>
          </w:tcBorders>
        </w:tcPr>
        <w:p>
          <w:pPr>
            <w:pStyle w:val="TableParagraph"/>
            <w:spacing w:lineRule="exact" w:line="177" w:before="46" w:after="0"/>
            <w:ind w:left="13" w:right="3"/>
            <w:jc w:val="center"/>
            <w:rPr/>
          </w:pPr>
          <w:r>
            <w:rPr>
              <w:rFonts w:ascii="Arial Black" w:hAnsi="Arial Black"/>
              <w:spacing w:val="-2"/>
              <w:sz w:val="14"/>
              <w:lang w:val="en-US"/>
            </w:rPr>
            <w:t>ARPAS</w:t>
          </w:r>
        </w:p>
      </w:tc>
    </w:tr>
    <w:tr>
      <w:trPr>
        <w:trHeight w:val="195" w:hRule="atLeast"/>
      </w:trPr>
      <w:tc>
        <w:tcPr>
          <w:tcW w:w="4170" w:type="dxa"/>
          <w:tcBorders>
            <w:left w:val="single" w:sz="4" w:space="0" w:color="000000"/>
            <w:bottom w:val="single" w:sz="4" w:space="0" w:color="000000"/>
            <w:right w:val="single" w:sz="4" w:space="0" w:color="000000"/>
          </w:tcBorders>
        </w:tcPr>
        <w:p>
          <w:pPr>
            <w:pStyle w:val="TableParagraph"/>
            <w:spacing w:before="0" w:after="0"/>
            <w:ind w:left="0"/>
            <w:rPr>
              <w:rFonts w:ascii="Times New Roman" w:hAnsi="Times New Roman"/>
              <w:sz w:val="12"/>
            </w:rPr>
          </w:pPr>
          <w:r>
            <w:rPr>
              <w:rFonts w:ascii="Times New Roman" w:hAnsi="Times New Roman"/>
              <w:sz w:val="12"/>
            </w:rPr>
          </w:r>
        </w:p>
      </w:tc>
      <w:tc>
        <w:tcPr>
          <w:tcW w:w="5467" w:type="dxa"/>
          <w:tcBorders>
            <w:left w:val="single" w:sz="4" w:space="0" w:color="000000"/>
            <w:bottom w:val="single" w:sz="4" w:space="0" w:color="000000"/>
            <w:right w:val="single" w:sz="4" w:space="0" w:color="000000"/>
          </w:tcBorders>
        </w:tcPr>
        <w:p>
          <w:pPr>
            <w:pStyle w:val="TableParagraph"/>
            <w:spacing w:lineRule="exact" w:line="176" w:before="0" w:after="0"/>
            <w:ind w:left="12" w:right="3"/>
            <w:jc w:val="center"/>
            <w:rPr/>
          </w:pPr>
          <w:r>
            <w:rPr>
              <w:sz w:val="14"/>
              <w:lang w:val="en-US"/>
            </w:rPr>
            <w:t>Direzione</w:t>
          </w:r>
          <w:r>
            <w:rPr>
              <w:spacing w:val="-5"/>
              <w:sz w:val="14"/>
              <w:lang w:val="en-US"/>
            </w:rPr>
            <w:t xml:space="preserve"> </w:t>
          </w:r>
          <w:r>
            <w:rPr>
              <w:sz w:val="14"/>
              <w:lang w:val="en-US"/>
            </w:rPr>
            <w:t>Tecnico</w:t>
          </w:r>
          <w:r>
            <w:rPr>
              <w:spacing w:val="-5"/>
              <w:sz w:val="14"/>
              <w:lang w:val="en-US"/>
            </w:rPr>
            <w:t xml:space="preserve"> </w:t>
          </w:r>
          <w:r>
            <w:rPr>
              <w:sz w:val="14"/>
              <w:lang w:val="en-US"/>
            </w:rPr>
            <w:t>Scientifica</w:t>
          </w:r>
          <w:r>
            <w:rPr>
              <w:spacing w:val="-4"/>
              <w:sz w:val="14"/>
              <w:lang w:val="en-US"/>
            </w:rPr>
            <w:t xml:space="preserve"> </w:t>
          </w:r>
          <w:r>
            <w:rPr>
              <w:sz w:val="14"/>
              <w:lang w:val="en-US"/>
            </w:rPr>
            <w:t>-</w:t>
          </w:r>
          <w:r>
            <w:rPr>
              <w:spacing w:val="-5"/>
              <w:sz w:val="14"/>
              <w:lang w:val="en-US"/>
            </w:rPr>
            <w:t xml:space="preserve"> </w:t>
          </w:r>
          <w:r>
            <w:rPr>
              <w:sz w:val="14"/>
              <w:lang w:val="en-US"/>
            </w:rPr>
            <w:t>Servizio</w:t>
          </w:r>
          <w:r>
            <w:rPr>
              <w:spacing w:val="-2"/>
              <w:sz w:val="14"/>
              <w:lang w:val="en-US"/>
            </w:rPr>
            <w:t xml:space="preserve"> </w:t>
          </w:r>
          <w:r>
            <w:rPr>
              <w:rFonts w:ascii="Arial Black" w:hAnsi="Arial Black"/>
              <w:sz w:val="14"/>
              <w:lang w:val="en-US"/>
            </w:rPr>
            <w:t>Agenti</w:t>
          </w:r>
          <w:r>
            <w:rPr>
              <w:rFonts w:ascii="Arial Black" w:hAnsi="Arial Black"/>
              <w:spacing w:val="-6"/>
              <w:sz w:val="14"/>
              <w:lang w:val="en-US"/>
            </w:rPr>
            <w:t xml:space="preserve"> </w:t>
          </w:r>
          <w:r>
            <w:rPr>
              <w:rFonts w:ascii="Arial Black" w:hAnsi="Arial Black"/>
              <w:spacing w:val="-2"/>
              <w:sz w:val="14"/>
              <w:lang w:val="en-US"/>
            </w:rPr>
            <w:t>fisici</w:t>
          </w:r>
        </w:p>
      </w:tc>
    </w:tr>
  </w:tbl>
  <w:p>
    <w:pPr>
      <w:pStyle w:val="Head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4">
    <w:lvl w:ilvl="0">
      <w:numFmt w:val="bullet"/>
      <w:lvlText w:val=""/>
      <w:lvlJc w:val="left"/>
      <w:pPr>
        <w:tabs>
          <w:tab w:val="num" w:pos="0"/>
        </w:tabs>
        <w:ind w:left="720" w:hanging="360"/>
      </w:pPr>
      <w:rPr>
        <w:rFonts w:ascii="Symbol" w:hAnsi="Symbol" w:cs="Symbol" w:hint="default"/>
      </w:rPr>
    </w:lvl>
    <w:lvl w:ilvl="1">
      <w:start w:val="0"/>
      <w:numFmt w:val="bullet"/>
      <w:lvlText w:val="◦"/>
      <w:lvlJc w:val="left"/>
      <w:pPr>
        <w:tabs>
          <w:tab w:val="num" w:pos="0"/>
        </w:tabs>
        <w:ind w:left="1080" w:hanging="360"/>
      </w:pPr>
      <w:rPr>
        <w:rFonts w:ascii="OpenSymbol" w:hAnsi="OpenSymbol" w:cs="OpenSymbol" w:hint="default"/>
      </w:rPr>
    </w:lvl>
    <w:lvl w:ilvl="2">
      <w:start w:val="0"/>
      <w:numFmt w:val="bullet"/>
      <w:lvlText w:val="▪"/>
      <w:lvlJc w:val="left"/>
      <w:pPr>
        <w:tabs>
          <w:tab w:val="num" w:pos="0"/>
        </w:tabs>
        <w:ind w:left="1440" w:hanging="360"/>
      </w:pPr>
      <w:rPr>
        <w:rFonts w:ascii="OpenSymbol" w:hAnsi="OpenSymbol" w:cs="OpenSymbol" w:hint="default"/>
      </w:rPr>
    </w:lvl>
    <w:lvl w:ilvl="3">
      <w:start w:val="0"/>
      <w:numFmt w:val="bullet"/>
      <w:lvlText w:val=""/>
      <w:lvlJc w:val="left"/>
      <w:pPr>
        <w:tabs>
          <w:tab w:val="num" w:pos="0"/>
        </w:tabs>
        <w:ind w:left="1800" w:hanging="360"/>
      </w:pPr>
      <w:rPr>
        <w:rFonts w:ascii="Symbol" w:hAnsi="Symbol" w:cs="Symbol" w:hint="default"/>
      </w:rPr>
    </w:lvl>
    <w:lvl w:ilvl="4">
      <w:start w:val="0"/>
      <w:numFmt w:val="bullet"/>
      <w:lvlText w:val="◦"/>
      <w:lvlJc w:val="left"/>
      <w:pPr>
        <w:tabs>
          <w:tab w:val="num" w:pos="0"/>
        </w:tabs>
        <w:ind w:left="2160" w:hanging="360"/>
      </w:pPr>
      <w:rPr>
        <w:rFonts w:ascii="OpenSymbol" w:hAnsi="OpenSymbol" w:cs="OpenSymbol" w:hint="default"/>
      </w:rPr>
    </w:lvl>
    <w:lvl w:ilvl="5">
      <w:start w:val="0"/>
      <w:numFmt w:val="bullet"/>
      <w:lvlText w:val="▪"/>
      <w:lvlJc w:val="left"/>
      <w:pPr>
        <w:tabs>
          <w:tab w:val="num" w:pos="0"/>
        </w:tabs>
        <w:ind w:left="2520" w:hanging="360"/>
      </w:pPr>
      <w:rPr>
        <w:rFonts w:ascii="OpenSymbol" w:hAnsi="OpenSymbol" w:cs="OpenSymbol" w:hint="default"/>
      </w:rPr>
    </w:lvl>
    <w:lvl w:ilvl="6">
      <w:start w:val="0"/>
      <w:numFmt w:val="bullet"/>
      <w:lvlText w:val=""/>
      <w:lvlJc w:val="left"/>
      <w:pPr>
        <w:tabs>
          <w:tab w:val="num" w:pos="0"/>
        </w:tabs>
        <w:ind w:left="2880" w:hanging="360"/>
      </w:pPr>
      <w:rPr>
        <w:rFonts w:ascii="Symbol" w:hAnsi="Symbol" w:cs="Symbol" w:hint="default"/>
      </w:rPr>
    </w:lvl>
    <w:lvl w:ilvl="7">
      <w:start w:val="0"/>
      <w:numFmt w:val="bullet"/>
      <w:lvlText w:val="◦"/>
      <w:lvlJc w:val="left"/>
      <w:pPr>
        <w:tabs>
          <w:tab w:val="num" w:pos="0"/>
        </w:tabs>
        <w:ind w:left="3240" w:hanging="360"/>
      </w:pPr>
      <w:rPr>
        <w:rFonts w:ascii="OpenSymbol" w:hAnsi="OpenSymbol" w:cs="OpenSymbol" w:hint="default"/>
      </w:rPr>
    </w:lvl>
    <w:lvl w:ilvl="8">
      <w:start w:val="0"/>
      <w:numFmt w:val="bullet"/>
      <w:lvlText w:val="▪"/>
      <w:lvlJc w:val="left"/>
      <w:pPr>
        <w:tabs>
          <w:tab w:val="num" w:pos="0"/>
        </w:tabs>
        <w:ind w:left="3600" w:hanging="360"/>
      </w:pPr>
      <w:rPr>
        <w:rFonts w:ascii="OpenSymbol" w:hAnsi="OpenSymbol" w:cs="OpenSymbol" w:hint="default"/>
      </w:rPr>
    </w:lvl>
  </w:abstractNum>
  <w:abstractNum w:abstractNumId="5">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6">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8">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
    <w:lvl w:ilvl="0">
      <w:numFmt w:val="bullet"/>
      <w:lvlText w:val=""/>
      <w:lvlJc w:val="left"/>
      <w:pPr>
        <w:tabs>
          <w:tab w:val="num" w:pos="0"/>
        </w:tabs>
        <w:ind w:left="837" w:hanging="360"/>
      </w:pPr>
      <w:rPr>
        <w:rFonts w:ascii="Symbol" w:hAnsi="Symbol" w:cs="Symbol" w:hint="default"/>
      </w:rPr>
    </w:lvl>
    <w:lvl w:ilvl="1">
      <w:start w:val="0"/>
      <w:numFmt w:val="bullet"/>
      <w:lvlText w:val="o"/>
      <w:lvlJc w:val="left"/>
      <w:pPr>
        <w:tabs>
          <w:tab w:val="num" w:pos="0"/>
        </w:tabs>
        <w:ind w:left="1557" w:hanging="360"/>
      </w:pPr>
      <w:rPr>
        <w:rFonts w:ascii="Courier New" w:hAnsi="Courier New" w:cs="Courier New" w:hint="default"/>
      </w:rPr>
    </w:lvl>
    <w:lvl w:ilvl="2">
      <w:start w:val="0"/>
      <w:numFmt w:val="bullet"/>
      <w:lvlText w:val=""/>
      <w:lvlJc w:val="left"/>
      <w:pPr>
        <w:tabs>
          <w:tab w:val="num" w:pos="0"/>
        </w:tabs>
        <w:ind w:left="2277" w:hanging="360"/>
      </w:pPr>
      <w:rPr>
        <w:rFonts w:ascii="Wingdings" w:hAnsi="Wingdings" w:cs="Wingdings" w:hint="default"/>
      </w:rPr>
    </w:lvl>
    <w:lvl w:ilvl="3">
      <w:start w:val="0"/>
      <w:numFmt w:val="bullet"/>
      <w:lvlText w:val=""/>
      <w:lvlJc w:val="left"/>
      <w:pPr>
        <w:tabs>
          <w:tab w:val="num" w:pos="0"/>
        </w:tabs>
        <w:ind w:left="2997" w:hanging="360"/>
      </w:pPr>
      <w:rPr>
        <w:rFonts w:ascii="Symbol" w:hAnsi="Symbol" w:cs="Symbol" w:hint="default"/>
      </w:rPr>
    </w:lvl>
    <w:lvl w:ilvl="4">
      <w:start w:val="0"/>
      <w:numFmt w:val="bullet"/>
      <w:lvlText w:val="o"/>
      <w:lvlJc w:val="left"/>
      <w:pPr>
        <w:tabs>
          <w:tab w:val="num" w:pos="0"/>
        </w:tabs>
        <w:ind w:left="3717" w:hanging="360"/>
      </w:pPr>
      <w:rPr>
        <w:rFonts w:ascii="Courier New" w:hAnsi="Courier New" w:cs="Courier New" w:hint="default"/>
      </w:rPr>
    </w:lvl>
    <w:lvl w:ilvl="5">
      <w:start w:val="0"/>
      <w:numFmt w:val="bullet"/>
      <w:lvlText w:val=""/>
      <w:lvlJc w:val="left"/>
      <w:pPr>
        <w:tabs>
          <w:tab w:val="num" w:pos="0"/>
        </w:tabs>
        <w:ind w:left="4437" w:hanging="360"/>
      </w:pPr>
      <w:rPr>
        <w:rFonts w:ascii="Wingdings" w:hAnsi="Wingdings" w:cs="Wingdings" w:hint="default"/>
      </w:rPr>
    </w:lvl>
    <w:lvl w:ilvl="6">
      <w:start w:val="0"/>
      <w:numFmt w:val="bullet"/>
      <w:lvlText w:val=""/>
      <w:lvlJc w:val="left"/>
      <w:pPr>
        <w:tabs>
          <w:tab w:val="num" w:pos="0"/>
        </w:tabs>
        <w:ind w:left="5157" w:hanging="360"/>
      </w:pPr>
      <w:rPr>
        <w:rFonts w:ascii="Symbol" w:hAnsi="Symbol" w:cs="Symbol" w:hint="default"/>
      </w:rPr>
    </w:lvl>
    <w:lvl w:ilvl="7">
      <w:start w:val="0"/>
      <w:numFmt w:val="bullet"/>
      <w:lvlText w:val="o"/>
      <w:lvlJc w:val="left"/>
      <w:pPr>
        <w:tabs>
          <w:tab w:val="num" w:pos="0"/>
        </w:tabs>
        <w:ind w:left="5877" w:hanging="360"/>
      </w:pPr>
      <w:rPr>
        <w:rFonts w:ascii="Courier New" w:hAnsi="Courier New" w:cs="Courier New" w:hint="default"/>
      </w:rPr>
    </w:lvl>
    <w:lvl w:ilvl="8">
      <w:start w:val="0"/>
      <w:numFmt w:val="bullet"/>
      <w:lvlText w:val=""/>
      <w:lvlJc w:val="left"/>
      <w:pPr>
        <w:tabs>
          <w:tab w:val="num" w:pos="0"/>
        </w:tabs>
        <w:ind w:left="6597" w:hanging="360"/>
      </w:pPr>
      <w:rPr>
        <w:rFonts w:ascii="Wingdings" w:hAnsi="Wingdings" w:cs="Wingdings" w:hint="default"/>
      </w:rPr>
    </w:lvl>
  </w:abstractNum>
  <w:abstractNum w:abstractNumId="11">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2">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
    <w:lvl w:ilvl="0">
      <w:numFmt w:val="bullet"/>
      <w:lvlText w:val="-"/>
      <w:lvlJc w:val="left"/>
      <w:pPr>
        <w:tabs>
          <w:tab w:val="num" w:pos="0"/>
        </w:tabs>
        <w:ind w:left="720" w:hanging="360"/>
      </w:pPr>
      <w:rPr>
        <w:rFonts w:ascii="Times New Roman" w:hAnsi="Times New Roman" w:cs="Times New Roman"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5">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6">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8">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9">
    <w:lvl w:ilvl="0">
      <w:numFmt w:val="bullet"/>
      <w:lvlText w:val=""/>
      <w:lvlJc w:val="left"/>
      <w:pPr>
        <w:tabs>
          <w:tab w:val="num" w:pos="0"/>
        </w:tabs>
        <w:ind w:left="1080" w:hanging="360"/>
      </w:pPr>
      <w:rPr>
        <w:rFonts w:ascii="Symbol" w:hAnsi="Symbol" w:cs="Symbol" w:hint="default"/>
      </w:rPr>
    </w:lvl>
    <w:lvl w:ilvl="1">
      <w:start w:val="0"/>
      <w:numFmt w:val="bullet"/>
      <w:lvlText w:val="o"/>
      <w:lvlJc w:val="left"/>
      <w:pPr>
        <w:tabs>
          <w:tab w:val="num" w:pos="0"/>
        </w:tabs>
        <w:ind w:left="1800" w:hanging="360"/>
      </w:pPr>
      <w:rPr>
        <w:rFonts w:ascii="Courier New" w:hAnsi="Courier New" w:cs="Courier New" w:hint="default"/>
      </w:rPr>
    </w:lvl>
    <w:lvl w:ilvl="2">
      <w:start w:val="0"/>
      <w:numFmt w:val="bullet"/>
      <w:lvlText w:val=""/>
      <w:lvlJc w:val="left"/>
      <w:pPr>
        <w:tabs>
          <w:tab w:val="num" w:pos="0"/>
        </w:tabs>
        <w:ind w:left="2520" w:hanging="360"/>
      </w:pPr>
      <w:rPr>
        <w:rFonts w:ascii="Wingdings" w:hAnsi="Wingdings" w:cs="Wingdings" w:hint="default"/>
      </w:rPr>
    </w:lvl>
    <w:lvl w:ilvl="3">
      <w:start w:val="0"/>
      <w:numFmt w:val="bullet"/>
      <w:lvlText w:val=""/>
      <w:lvlJc w:val="left"/>
      <w:pPr>
        <w:tabs>
          <w:tab w:val="num" w:pos="0"/>
        </w:tabs>
        <w:ind w:left="3240" w:hanging="360"/>
      </w:pPr>
      <w:rPr>
        <w:rFonts w:ascii="Symbol" w:hAnsi="Symbol" w:cs="Symbol" w:hint="default"/>
      </w:rPr>
    </w:lvl>
    <w:lvl w:ilvl="4">
      <w:start w:val="0"/>
      <w:numFmt w:val="bullet"/>
      <w:lvlText w:val="o"/>
      <w:lvlJc w:val="left"/>
      <w:pPr>
        <w:tabs>
          <w:tab w:val="num" w:pos="0"/>
        </w:tabs>
        <w:ind w:left="3960" w:hanging="360"/>
      </w:pPr>
      <w:rPr>
        <w:rFonts w:ascii="Courier New" w:hAnsi="Courier New" w:cs="Courier New" w:hint="default"/>
      </w:rPr>
    </w:lvl>
    <w:lvl w:ilvl="5">
      <w:start w:val="0"/>
      <w:numFmt w:val="bullet"/>
      <w:lvlText w:val=""/>
      <w:lvlJc w:val="left"/>
      <w:pPr>
        <w:tabs>
          <w:tab w:val="num" w:pos="0"/>
        </w:tabs>
        <w:ind w:left="4680" w:hanging="360"/>
      </w:pPr>
      <w:rPr>
        <w:rFonts w:ascii="Wingdings" w:hAnsi="Wingdings" w:cs="Wingdings" w:hint="default"/>
      </w:rPr>
    </w:lvl>
    <w:lvl w:ilvl="6">
      <w:start w:val="0"/>
      <w:numFmt w:val="bullet"/>
      <w:lvlText w:val=""/>
      <w:lvlJc w:val="left"/>
      <w:pPr>
        <w:tabs>
          <w:tab w:val="num" w:pos="0"/>
        </w:tabs>
        <w:ind w:left="5400" w:hanging="360"/>
      </w:pPr>
      <w:rPr>
        <w:rFonts w:ascii="Symbol" w:hAnsi="Symbol" w:cs="Symbol" w:hint="default"/>
      </w:rPr>
    </w:lvl>
    <w:lvl w:ilvl="7">
      <w:start w:val="0"/>
      <w:numFmt w:val="bullet"/>
      <w:lvlText w:val="o"/>
      <w:lvlJc w:val="left"/>
      <w:pPr>
        <w:tabs>
          <w:tab w:val="num" w:pos="0"/>
        </w:tabs>
        <w:ind w:left="6120" w:hanging="360"/>
      </w:pPr>
      <w:rPr>
        <w:rFonts w:ascii="Courier New" w:hAnsi="Courier New" w:cs="Courier New" w:hint="default"/>
      </w:rPr>
    </w:lvl>
    <w:lvl w:ilvl="8">
      <w:start w:val="0"/>
      <w:numFmt w:val="bullet"/>
      <w:lvlText w:val=""/>
      <w:lvlJc w:val="left"/>
      <w:pPr>
        <w:tabs>
          <w:tab w:val="num" w:pos="0"/>
        </w:tabs>
        <w:ind w:left="6840" w:hanging="360"/>
      </w:pPr>
      <w:rPr>
        <w:rFonts w:ascii="Wingdings" w:hAnsi="Wingdings" w:cs="Wingdings" w:hint="default"/>
      </w:rPr>
    </w:lvl>
  </w:abstractNum>
  <w:abstractNum w:abstractNumId="20">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21">
    <w:lvl w:ilvl="0">
      <w:start w:val="1"/>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22">
    <w:lvl w:ilvl="0">
      <w:start w:val="1"/>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23">
    <w:lvl w:ilvl="0">
      <w:start w:val="1"/>
      <w:numFmt w:val="lowerLetter"/>
      <w:lvlText w:val="%1)"/>
      <w:lvlJc w:val="left"/>
      <w:pPr>
        <w:tabs>
          <w:tab w:val="num" w:pos="0"/>
        </w:tabs>
        <w:ind w:left="1287" w:hanging="360"/>
      </w:pPr>
      <w:rPr/>
    </w:lvl>
    <w:lvl w:ilvl="1">
      <w:start w:val="1"/>
      <w:numFmt w:val="lowerLetter"/>
      <w:lvlText w:val="%2."/>
      <w:lvlJc w:val="left"/>
      <w:pPr>
        <w:tabs>
          <w:tab w:val="num" w:pos="0"/>
        </w:tabs>
        <w:ind w:left="2007" w:hanging="360"/>
      </w:pPr>
      <w:rPr/>
    </w:lvl>
    <w:lvl w:ilvl="2">
      <w:start w:val="1"/>
      <w:numFmt w:val="lowerRoman"/>
      <w:lvlText w:val="%3."/>
      <w:lvlJc w:val="right"/>
      <w:pPr>
        <w:tabs>
          <w:tab w:val="num" w:pos="0"/>
        </w:tabs>
        <w:ind w:left="2727" w:hanging="180"/>
      </w:pPr>
      <w:rPr/>
    </w:lvl>
    <w:lvl w:ilvl="3">
      <w:start w:val="1"/>
      <w:numFmt w:val="decimal"/>
      <w:lvlText w:val="%4."/>
      <w:lvlJc w:val="left"/>
      <w:pPr>
        <w:tabs>
          <w:tab w:val="num" w:pos="0"/>
        </w:tabs>
        <w:ind w:left="3447" w:hanging="360"/>
      </w:pPr>
      <w:rPr/>
    </w:lvl>
    <w:lvl w:ilvl="4">
      <w:start w:val="1"/>
      <w:numFmt w:val="lowerLetter"/>
      <w:lvlText w:val="%5."/>
      <w:lvlJc w:val="left"/>
      <w:pPr>
        <w:tabs>
          <w:tab w:val="num" w:pos="0"/>
        </w:tabs>
        <w:ind w:left="4167" w:hanging="360"/>
      </w:pPr>
      <w:rPr/>
    </w:lvl>
    <w:lvl w:ilvl="5">
      <w:start w:val="1"/>
      <w:numFmt w:val="lowerRoman"/>
      <w:lvlText w:val="%6."/>
      <w:lvlJc w:val="right"/>
      <w:pPr>
        <w:tabs>
          <w:tab w:val="num" w:pos="0"/>
        </w:tabs>
        <w:ind w:left="4887" w:hanging="180"/>
      </w:pPr>
      <w:rPr/>
    </w:lvl>
    <w:lvl w:ilvl="6">
      <w:start w:val="1"/>
      <w:numFmt w:val="decimal"/>
      <w:lvlText w:val="%7."/>
      <w:lvlJc w:val="left"/>
      <w:pPr>
        <w:tabs>
          <w:tab w:val="num" w:pos="0"/>
        </w:tabs>
        <w:ind w:left="5607" w:hanging="360"/>
      </w:pPr>
      <w:rPr/>
    </w:lvl>
    <w:lvl w:ilvl="7">
      <w:start w:val="1"/>
      <w:numFmt w:val="lowerLetter"/>
      <w:lvlText w:val="%8."/>
      <w:lvlJc w:val="left"/>
      <w:pPr>
        <w:tabs>
          <w:tab w:val="num" w:pos="0"/>
        </w:tabs>
        <w:ind w:left="6327" w:hanging="360"/>
      </w:pPr>
      <w:rPr/>
    </w:lvl>
    <w:lvl w:ilvl="8">
      <w:start w:val="1"/>
      <w:numFmt w:val="lowerRoman"/>
      <w:lvlText w:val="%9."/>
      <w:lvlJc w:val="right"/>
      <w:pPr>
        <w:tabs>
          <w:tab w:val="num" w:pos="0"/>
        </w:tabs>
        <w:ind w:left="7047" w:hanging="180"/>
      </w:pPr>
      <w:rPr/>
    </w:lvl>
  </w:abstractNum>
  <w:abstractNum w:abstractNumId="24">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5">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6">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7">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8">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9">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0">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1">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2">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3">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4">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5">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6">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7">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8">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39">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0">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1">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2">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3">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4">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5">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6">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7">
    <w:lvl w:ilvl="0">
      <w:start w:val="1"/>
      <w:numFmt w:val="decimal"/>
      <w:lvlText w:val="%1."/>
      <w:lvlJc w:val="left"/>
      <w:pPr>
        <w:tabs>
          <w:tab w:val="num" w:pos="0"/>
        </w:tabs>
        <w:ind w:left="720" w:hanging="360"/>
      </w:pPr>
      <w:rPr>
        <w:i/>
        <w:b/>
        <w:color w:val="000000"/>
      </w:rPr>
    </w:lvl>
    <w:lvl w:ilvl="1">
      <w:start w:val="1"/>
      <w:numFmt w:val="lowerLetter"/>
      <w:lvlText w:val="%2)"/>
      <w:lvlJc w:val="left"/>
      <w:pPr>
        <w:tabs>
          <w:tab w:val="num" w:pos="0"/>
        </w:tabs>
        <w:ind w:left="1440" w:hanging="360"/>
      </w:pPr>
      <w:rPr>
        <w:i/>
        <w:color w:val="00000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8">
    <w:lvl w:ilvl="0">
      <w:numFmt w:val="bullet"/>
      <w:lvlText w:val=""/>
      <w:lvlJc w:val="left"/>
      <w:pPr>
        <w:tabs>
          <w:tab w:val="num" w:pos="0"/>
        </w:tabs>
        <w:ind w:left="720" w:hanging="360"/>
      </w:pPr>
      <w:rPr>
        <w:rFonts w:ascii="Symbol" w:hAnsi="Symbol" w:cs="Symbol" w:hint="default"/>
      </w:rPr>
    </w:lvl>
    <w:lvl w:ilvl="1">
      <w:start w:val="0"/>
      <w:numFmt w:val="bullet"/>
      <w:lvlText w:val="◦"/>
      <w:lvlJc w:val="left"/>
      <w:pPr>
        <w:tabs>
          <w:tab w:val="num" w:pos="0"/>
        </w:tabs>
        <w:ind w:left="1080" w:hanging="360"/>
      </w:pPr>
      <w:rPr>
        <w:rFonts w:ascii="OpenSymbol" w:hAnsi="OpenSymbol" w:cs="OpenSymbol" w:hint="default"/>
      </w:rPr>
    </w:lvl>
    <w:lvl w:ilvl="2">
      <w:start w:val="0"/>
      <w:numFmt w:val="bullet"/>
      <w:lvlText w:val="▪"/>
      <w:lvlJc w:val="left"/>
      <w:pPr>
        <w:tabs>
          <w:tab w:val="num" w:pos="0"/>
        </w:tabs>
        <w:ind w:left="1440" w:hanging="360"/>
      </w:pPr>
      <w:rPr>
        <w:rFonts w:ascii="OpenSymbol" w:hAnsi="OpenSymbol" w:cs="OpenSymbol" w:hint="default"/>
      </w:rPr>
    </w:lvl>
    <w:lvl w:ilvl="3">
      <w:start w:val="0"/>
      <w:numFmt w:val="bullet"/>
      <w:lvlText w:val=""/>
      <w:lvlJc w:val="left"/>
      <w:pPr>
        <w:tabs>
          <w:tab w:val="num" w:pos="0"/>
        </w:tabs>
        <w:ind w:left="1800" w:hanging="360"/>
      </w:pPr>
      <w:rPr>
        <w:rFonts w:ascii="Symbol" w:hAnsi="Symbol" w:cs="Symbol" w:hint="default"/>
      </w:rPr>
    </w:lvl>
    <w:lvl w:ilvl="4">
      <w:start w:val="0"/>
      <w:numFmt w:val="bullet"/>
      <w:lvlText w:val="◦"/>
      <w:lvlJc w:val="left"/>
      <w:pPr>
        <w:tabs>
          <w:tab w:val="num" w:pos="0"/>
        </w:tabs>
        <w:ind w:left="2160" w:hanging="360"/>
      </w:pPr>
      <w:rPr>
        <w:rFonts w:ascii="OpenSymbol" w:hAnsi="OpenSymbol" w:cs="OpenSymbol" w:hint="default"/>
      </w:rPr>
    </w:lvl>
    <w:lvl w:ilvl="5">
      <w:start w:val="0"/>
      <w:numFmt w:val="bullet"/>
      <w:lvlText w:val="▪"/>
      <w:lvlJc w:val="left"/>
      <w:pPr>
        <w:tabs>
          <w:tab w:val="num" w:pos="0"/>
        </w:tabs>
        <w:ind w:left="2520" w:hanging="360"/>
      </w:pPr>
      <w:rPr>
        <w:rFonts w:ascii="OpenSymbol" w:hAnsi="OpenSymbol" w:cs="OpenSymbol" w:hint="default"/>
      </w:rPr>
    </w:lvl>
    <w:lvl w:ilvl="6">
      <w:start w:val="0"/>
      <w:numFmt w:val="bullet"/>
      <w:lvlText w:val=""/>
      <w:lvlJc w:val="left"/>
      <w:pPr>
        <w:tabs>
          <w:tab w:val="num" w:pos="0"/>
        </w:tabs>
        <w:ind w:left="2880" w:hanging="360"/>
      </w:pPr>
      <w:rPr>
        <w:rFonts w:ascii="Symbol" w:hAnsi="Symbol" w:cs="Symbol" w:hint="default"/>
      </w:rPr>
    </w:lvl>
    <w:lvl w:ilvl="7">
      <w:start w:val="0"/>
      <w:numFmt w:val="bullet"/>
      <w:lvlText w:val="◦"/>
      <w:lvlJc w:val="left"/>
      <w:pPr>
        <w:tabs>
          <w:tab w:val="num" w:pos="0"/>
        </w:tabs>
        <w:ind w:left="3240" w:hanging="360"/>
      </w:pPr>
      <w:rPr>
        <w:rFonts w:ascii="OpenSymbol" w:hAnsi="OpenSymbol" w:cs="OpenSymbol" w:hint="default"/>
      </w:rPr>
    </w:lvl>
    <w:lvl w:ilvl="8">
      <w:start w:val="0"/>
      <w:numFmt w:val="bullet"/>
      <w:lvlText w:val="▪"/>
      <w:lvlJc w:val="left"/>
      <w:pPr>
        <w:tabs>
          <w:tab w:val="num" w:pos="0"/>
        </w:tabs>
        <w:ind w:left="3600" w:hanging="360"/>
      </w:pPr>
      <w:rPr>
        <w:rFonts w:ascii="OpenSymbol" w:hAnsi="OpenSymbol" w:cs="OpenSymbol" w:hint="default"/>
      </w:rPr>
    </w:lvl>
  </w:abstractNum>
  <w:abstractNum w:abstractNumId="49">
    <w:lvl w:ilvl="0">
      <w:numFmt w:val="bullet"/>
      <w:lvlText w:val=""/>
      <w:lvlJc w:val="left"/>
      <w:pPr>
        <w:tabs>
          <w:tab w:val="num" w:pos="0"/>
        </w:tabs>
        <w:ind w:left="720" w:hanging="360"/>
      </w:pPr>
      <w:rPr>
        <w:rFonts w:ascii="Symbol" w:hAnsi="Symbol" w:cs="Symbol" w:hint="default"/>
      </w:rPr>
    </w:lvl>
    <w:lvl w:ilvl="1">
      <w:start w:val="0"/>
      <w:numFmt w:val="bullet"/>
      <w:lvlText w:val="◦"/>
      <w:lvlJc w:val="left"/>
      <w:pPr>
        <w:tabs>
          <w:tab w:val="num" w:pos="0"/>
        </w:tabs>
        <w:ind w:left="1080" w:hanging="360"/>
      </w:pPr>
      <w:rPr>
        <w:rFonts w:ascii="OpenSymbol" w:hAnsi="OpenSymbol" w:cs="OpenSymbol" w:hint="default"/>
      </w:rPr>
    </w:lvl>
    <w:lvl w:ilvl="2">
      <w:start w:val="0"/>
      <w:numFmt w:val="bullet"/>
      <w:lvlText w:val="▪"/>
      <w:lvlJc w:val="left"/>
      <w:pPr>
        <w:tabs>
          <w:tab w:val="num" w:pos="0"/>
        </w:tabs>
        <w:ind w:left="1440" w:hanging="360"/>
      </w:pPr>
      <w:rPr>
        <w:rFonts w:ascii="OpenSymbol" w:hAnsi="OpenSymbol" w:cs="OpenSymbol" w:hint="default"/>
      </w:rPr>
    </w:lvl>
    <w:lvl w:ilvl="3">
      <w:start w:val="0"/>
      <w:numFmt w:val="bullet"/>
      <w:lvlText w:val=""/>
      <w:lvlJc w:val="left"/>
      <w:pPr>
        <w:tabs>
          <w:tab w:val="num" w:pos="0"/>
        </w:tabs>
        <w:ind w:left="1800" w:hanging="360"/>
      </w:pPr>
      <w:rPr>
        <w:rFonts w:ascii="Symbol" w:hAnsi="Symbol" w:cs="Symbol" w:hint="default"/>
      </w:rPr>
    </w:lvl>
    <w:lvl w:ilvl="4">
      <w:start w:val="0"/>
      <w:numFmt w:val="bullet"/>
      <w:lvlText w:val="◦"/>
      <w:lvlJc w:val="left"/>
      <w:pPr>
        <w:tabs>
          <w:tab w:val="num" w:pos="0"/>
        </w:tabs>
        <w:ind w:left="2160" w:hanging="360"/>
      </w:pPr>
      <w:rPr>
        <w:rFonts w:ascii="OpenSymbol" w:hAnsi="OpenSymbol" w:cs="OpenSymbol" w:hint="default"/>
      </w:rPr>
    </w:lvl>
    <w:lvl w:ilvl="5">
      <w:start w:val="0"/>
      <w:numFmt w:val="bullet"/>
      <w:lvlText w:val="▪"/>
      <w:lvlJc w:val="left"/>
      <w:pPr>
        <w:tabs>
          <w:tab w:val="num" w:pos="0"/>
        </w:tabs>
        <w:ind w:left="2520" w:hanging="360"/>
      </w:pPr>
      <w:rPr>
        <w:rFonts w:ascii="OpenSymbol" w:hAnsi="OpenSymbol" w:cs="OpenSymbol" w:hint="default"/>
      </w:rPr>
    </w:lvl>
    <w:lvl w:ilvl="6">
      <w:start w:val="0"/>
      <w:numFmt w:val="bullet"/>
      <w:lvlText w:val=""/>
      <w:lvlJc w:val="left"/>
      <w:pPr>
        <w:tabs>
          <w:tab w:val="num" w:pos="0"/>
        </w:tabs>
        <w:ind w:left="2880" w:hanging="360"/>
      </w:pPr>
      <w:rPr>
        <w:rFonts w:ascii="Symbol" w:hAnsi="Symbol" w:cs="Symbol" w:hint="default"/>
      </w:rPr>
    </w:lvl>
    <w:lvl w:ilvl="7">
      <w:start w:val="0"/>
      <w:numFmt w:val="bullet"/>
      <w:lvlText w:val="◦"/>
      <w:lvlJc w:val="left"/>
      <w:pPr>
        <w:tabs>
          <w:tab w:val="num" w:pos="0"/>
        </w:tabs>
        <w:ind w:left="3240" w:hanging="360"/>
      </w:pPr>
      <w:rPr>
        <w:rFonts w:ascii="OpenSymbol" w:hAnsi="OpenSymbol" w:cs="OpenSymbol" w:hint="default"/>
      </w:rPr>
    </w:lvl>
    <w:lvl w:ilvl="8">
      <w:start w:val="0"/>
      <w:numFmt w:val="bullet"/>
      <w:lvlText w:val="▪"/>
      <w:lvlJc w:val="left"/>
      <w:pPr>
        <w:tabs>
          <w:tab w:val="num" w:pos="0"/>
        </w:tabs>
        <w:ind w:left="3600" w:hanging="360"/>
      </w:pPr>
      <w:rPr>
        <w:rFonts w:ascii="OpenSymbol" w:hAnsi="OpenSymbol" w:cs="OpenSymbol" w:hint="default"/>
      </w:rPr>
    </w:lvl>
  </w:abstractNum>
  <w:abstractNum w:abstractNumId="50">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51">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52">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53">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5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55">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56">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5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5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9">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0">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1">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2">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3">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5">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6">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7">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9">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0">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1">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2">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4">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5">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6">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9">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80">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81">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82">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8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8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85">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86">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8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88">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89">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0">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1">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92">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93">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5">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6">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8">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99">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0">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1">
    <w:lvl w:ilvl="0">
      <w:numFmt w:val="bullet"/>
      <w:lvlText w:val=""/>
      <w:lvlJc w:val="left"/>
      <w:pPr>
        <w:tabs>
          <w:tab w:val="num" w:pos="0"/>
        </w:tabs>
        <w:ind w:left="837" w:hanging="360"/>
      </w:pPr>
      <w:rPr>
        <w:rFonts w:ascii="Symbol" w:hAnsi="Symbol" w:cs="Symbol" w:hint="default"/>
      </w:rPr>
    </w:lvl>
    <w:lvl w:ilvl="1">
      <w:start w:val="0"/>
      <w:numFmt w:val="bullet"/>
      <w:lvlText w:val="o"/>
      <w:lvlJc w:val="left"/>
      <w:pPr>
        <w:tabs>
          <w:tab w:val="num" w:pos="0"/>
        </w:tabs>
        <w:ind w:left="1557" w:hanging="360"/>
      </w:pPr>
      <w:rPr>
        <w:rFonts w:ascii="Courier New" w:hAnsi="Courier New" w:cs="Courier New" w:hint="default"/>
      </w:rPr>
    </w:lvl>
    <w:lvl w:ilvl="2">
      <w:start w:val="0"/>
      <w:numFmt w:val="bullet"/>
      <w:lvlText w:val=""/>
      <w:lvlJc w:val="left"/>
      <w:pPr>
        <w:tabs>
          <w:tab w:val="num" w:pos="0"/>
        </w:tabs>
        <w:ind w:left="2277" w:hanging="360"/>
      </w:pPr>
      <w:rPr>
        <w:rFonts w:ascii="Wingdings" w:hAnsi="Wingdings" w:cs="Wingdings" w:hint="default"/>
      </w:rPr>
    </w:lvl>
    <w:lvl w:ilvl="3">
      <w:start w:val="0"/>
      <w:numFmt w:val="bullet"/>
      <w:lvlText w:val=""/>
      <w:lvlJc w:val="left"/>
      <w:pPr>
        <w:tabs>
          <w:tab w:val="num" w:pos="0"/>
        </w:tabs>
        <w:ind w:left="2997" w:hanging="360"/>
      </w:pPr>
      <w:rPr>
        <w:rFonts w:ascii="Symbol" w:hAnsi="Symbol" w:cs="Symbol" w:hint="default"/>
      </w:rPr>
    </w:lvl>
    <w:lvl w:ilvl="4">
      <w:start w:val="0"/>
      <w:numFmt w:val="bullet"/>
      <w:lvlText w:val="o"/>
      <w:lvlJc w:val="left"/>
      <w:pPr>
        <w:tabs>
          <w:tab w:val="num" w:pos="0"/>
        </w:tabs>
        <w:ind w:left="3717" w:hanging="360"/>
      </w:pPr>
      <w:rPr>
        <w:rFonts w:ascii="Courier New" w:hAnsi="Courier New" w:cs="Courier New" w:hint="default"/>
      </w:rPr>
    </w:lvl>
    <w:lvl w:ilvl="5">
      <w:start w:val="0"/>
      <w:numFmt w:val="bullet"/>
      <w:lvlText w:val=""/>
      <w:lvlJc w:val="left"/>
      <w:pPr>
        <w:tabs>
          <w:tab w:val="num" w:pos="0"/>
        </w:tabs>
        <w:ind w:left="4437" w:hanging="360"/>
      </w:pPr>
      <w:rPr>
        <w:rFonts w:ascii="Wingdings" w:hAnsi="Wingdings" w:cs="Wingdings" w:hint="default"/>
      </w:rPr>
    </w:lvl>
    <w:lvl w:ilvl="6">
      <w:start w:val="0"/>
      <w:numFmt w:val="bullet"/>
      <w:lvlText w:val=""/>
      <w:lvlJc w:val="left"/>
      <w:pPr>
        <w:tabs>
          <w:tab w:val="num" w:pos="0"/>
        </w:tabs>
        <w:ind w:left="5157" w:hanging="360"/>
      </w:pPr>
      <w:rPr>
        <w:rFonts w:ascii="Symbol" w:hAnsi="Symbol" w:cs="Symbol" w:hint="default"/>
      </w:rPr>
    </w:lvl>
    <w:lvl w:ilvl="7">
      <w:start w:val="0"/>
      <w:numFmt w:val="bullet"/>
      <w:lvlText w:val="o"/>
      <w:lvlJc w:val="left"/>
      <w:pPr>
        <w:tabs>
          <w:tab w:val="num" w:pos="0"/>
        </w:tabs>
        <w:ind w:left="5877" w:hanging="360"/>
      </w:pPr>
      <w:rPr>
        <w:rFonts w:ascii="Courier New" w:hAnsi="Courier New" w:cs="Courier New" w:hint="default"/>
      </w:rPr>
    </w:lvl>
    <w:lvl w:ilvl="8">
      <w:start w:val="0"/>
      <w:numFmt w:val="bullet"/>
      <w:lvlText w:val=""/>
      <w:lvlJc w:val="left"/>
      <w:pPr>
        <w:tabs>
          <w:tab w:val="num" w:pos="0"/>
        </w:tabs>
        <w:ind w:left="6597" w:hanging="360"/>
      </w:pPr>
      <w:rPr>
        <w:rFonts w:ascii="Wingdings" w:hAnsi="Wingdings" w:cs="Wingdings" w:hint="default"/>
      </w:rPr>
    </w:lvl>
  </w:abstractNum>
  <w:abstractNum w:abstractNumId="102">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3">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5">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6">
    <w:lvl w:ilvl="0">
      <w:numFmt w:val="bullet"/>
      <w:lvlText w:val="-"/>
      <w:lvlJc w:val="left"/>
      <w:pPr>
        <w:tabs>
          <w:tab w:val="num" w:pos="0"/>
        </w:tabs>
        <w:ind w:left="720" w:hanging="360"/>
      </w:pPr>
      <w:rPr>
        <w:rFonts w:ascii="Times New Roman" w:hAnsi="Times New Roman" w:cs="Times New Roman"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7">
    <w:lvl w:ilvl="0">
      <w:numFmt w:val="bullet"/>
      <w:lvlText w:val="-"/>
      <w:lvlJc w:val="left"/>
      <w:pPr>
        <w:tabs>
          <w:tab w:val="num" w:pos="0"/>
        </w:tabs>
        <w:ind w:left="720" w:hanging="360"/>
      </w:pPr>
      <w:rPr>
        <w:rFonts w:ascii="Times New Roman" w:hAnsi="Times New Roman" w:cs="Times New Roman"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0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09">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0">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1">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2">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4">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5">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6">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7">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19">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20">
    <w:lvl w:ilvl="0">
      <w:start w:val="1"/>
      <w:numFmt w:val="decimal"/>
      <w:lvlText w:val="%1)"/>
      <w:lvlJc w:val="left"/>
      <w:pPr>
        <w:tabs>
          <w:tab w:val="num" w:pos="0"/>
        </w:tabs>
        <w:ind w:left="644"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21">
    <w:lvl w:ilvl="0">
      <w:start w:val="1"/>
      <w:numFmt w:val="decimal"/>
      <w:lvlText w:val="%1)"/>
      <w:lvlJc w:val="left"/>
      <w:pPr>
        <w:tabs>
          <w:tab w:val="num" w:pos="0"/>
        </w:tabs>
        <w:ind w:left="644"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22">
    <w:lvl w:ilvl="0">
      <w:start w:val="1"/>
      <w:numFmt w:val="decimal"/>
      <w:lvlText w:val="%1)"/>
      <w:lvlJc w:val="left"/>
      <w:pPr>
        <w:tabs>
          <w:tab w:val="num" w:pos="0"/>
        </w:tabs>
        <w:ind w:left="644"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2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2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25">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26">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27">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2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29">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0">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1">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2">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3">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4">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5">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36">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8">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39">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40">
    <w:lvl w:ilvl="0">
      <w:numFmt w:val="bullet"/>
      <w:lvlText w:val=""/>
      <w:lvlJc w:val="left"/>
      <w:pPr>
        <w:tabs>
          <w:tab w:val="num" w:pos="0"/>
        </w:tabs>
        <w:ind w:left="1080" w:hanging="360"/>
      </w:pPr>
      <w:rPr>
        <w:rFonts w:ascii="Symbol" w:hAnsi="Symbol" w:cs="Symbol" w:hint="default"/>
      </w:rPr>
    </w:lvl>
    <w:lvl w:ilvl="1">
      <w:start w:val="0"/>
      <w:numFmt w:val="bullet"/>
      <w:lvlText w:val="o"/>
      <w:lvlJc w:val="left"/>
      <w:pPr>
        <w:tabs>
          <w:tab w:val="num" w:pos="0"/>
        </w:tabs>
        <w:ind w:left="1800" w:hanging="360"/>
      </w:pPr>
      <w:rPr>
        <w:rFonts w:ascii="Courier New" w:hAnsi="Courier New" w:cs="Courier New" w:hint="default"/>
      </w:rPr>
    </w:lvl>
    <w:lvl w:ilvl="2">
      <w:start w:val="0"/>
      <w:numFmt w:val="bullet"/>
      <w:lvlText w:val=""/>
      <w:lvlJc w:val="left"/>
      <w:pPr>
        <w:tabs>
          <w:tab w:val="num" w:pos="0"/>
        </w:tabs>
        <w:ind w:left="2520" w:hanging="360"/>
      </w:pPr>
      <w:rPr>
        <w:rFonts w:ascii="Wingdings" w:hAnsi="Wingdings" w:cs="Wingdings" w:hint="default"/>
      </w:rPr>
    </w:lvl>
    <w:lvl w:ilvl="3">
      <w:start w:val="0"/>
      <w:numFmt w:val="bullet"/>
      <w:lvlText w:val=""/>
      <w:lvlJc w:val="left"/>
      <w:pPr>
        <w:tabs>
          <w:tab w:val="num" w:pos="0"/>
        </w:tabs>
        <w:ind w:left="3240" w:hanging="360"/>
      </w:pPr>
      <w:rPr>
        <w:rFonts w:ascii="Symbol" w:hAnsi="Symbol" w:cs="Symbol" w:hint="default"/>
      </w:rPr>
    </w:lvl>
    <w:lvl w:ilvl="4">
      <w:start w:val="0"/>
      <w:numFmt w:val="bullet"/>
      <w:lvlText w:val="o"/>
      <w:lvlJc w:val="left"/>
      <w:pPr>
        <w:tabs>
          <w:tab w:val="num" w:pos="0"/>
        </w:tabs>
        <w:ind w:left="3960" w:hanging="360"/>
      </w:pPr>
      <w:rPr>
        <w:rFonts w:ascii="Courier New" w:hAnsi="Courier New" w:cs="Courier New" w:hint="default"/>
      </w:rPr>
    </w:lvl>
    <w:lvl w:ilvl="5">
      <w:start w:val="0"/>
      <w:numFmt w:val="bullet"/>
      <w:lvlText w:val=""/>
      <w:lvlJc w:val="left"/>
      <w:pPr>
        <w:tabs>
          <w:tab w:val="num" w:pos="0"/>
        </w:tabs>
        <w:ind w:left="4680" w:hanging="360"/>
      </w:pPr>
      <w:rPr>
        <w:rFonts w:ascii="Wingdings" w:hAnsi="Wingdings" w:cs="Wingdings" w:hint="default"/>
      </w:rPr>
    </w:lvl>
    <w:lvl w:ilvl="6">
      <w:start w:val="0"/>
      <w:numFmt w:val="bullet"/>
      <w:lvlText w:val=""/>
      <w:lvlJc w:val="left"/>
      <w:pPr>
        <w:tabs>
          <w:tab w:val="num" w:pos="0"/>
        </w:tabs>
        <w:ind w:left="5400" w:hanging="360"/>
      </w:pPr>
      <w:rPr>
        <w:rFonts w:ascii="Symbol" w:hAnsi="Symbol" w:cs="Symbol" w:hint="default"/>
      </w:rPr>
    </w:lvl>
    <w:lvl w:ilvl="7">
      <w:start w:val="0"/>
      <w:numFmt w:val="bullet"/>
      <w:lvlText w:val="o"/>
      <w:lvlJc w:val="left"/>
      <w:pPr>
        <w:tabs>
          <w:tab w:val="num" w:pos="0"/>
        </w:tabs>
        <w:ind w:left="6120" w:hanging="360"/>
      </w:pPr>
      <w:rPr>
        <w:rFonts w:ascii="Courier New" w:hAnsi="Courier New" w:cs="Courier New" w:hint="default"/>
      </w:rPr>
    </w:lvl>
    <w:lvl w:ilvl="8">
      <w:start w:val="0"/>
      <w:numFmt w:val="bullet"/>
      <w:lvlText w:val=""/>
      <w:lvlJc w:val="left"/>
      <w:pPr>
        <w:tabs>
          <w:tab w:val="num" w:pos="0"/>
        </w:tabs>
        <w:ind w:left="6840" w:hanging="360"/>
      </w:pPr>
      <w:rPr>
        <w:rFonts w:ascii="Wingdings" w:hAnsi="Wingdings" w:cs="Wingdings" w:hint="default"/>
      </w:rPr>
    </w:lvl>
  </w:abstractNum>
  <w:abstractNum w:abstractNumId="141">
    <w:lvl w:ilvl="0">
      <w:numFmt w:val="bullet"/>
      <w:lvlText w:val=""/>
      <w:lvlJc w:val="left"/>
      <w:pPr>
        <w:tabs>
          <w:tab w:val="num" w:pos="0"/>
        </w:tabs>
        <w:ind w:left="1080" w:hanging="360"/>
      </w:pPr>
      <w:rPr>
        <w:rFonts w:ascii="Symbol" w:hAnsi="Symbol" w:cs="Symbol" w:hint="default"/>
      </w:rPr>
    </w:lvl>
    <w:lvl w:ilvl="1">
      <w:start w:val="0"/>
      <w:numFmt w:val="bullet"/>
      <w:lvlText w:val="o"/>
      <w:lvlJc w:val="left"/>
      <w:pPr>
        <w:tabs>
          <w:tab w:val="num" w:pos="0"/>
        </w:tabs>
        <w:ind w:left="1800" w:hanging="360"/>
      </w:pPr>
      <w:rPr>
        <w:rFonts w:ascii="Courier New" w:hAnsi="Courier New" w:cs="Courier New" w:hint="default"/>
      </w:rPr>
    </w:lvl>
    <w:lvl w:ilvl="2">
      <w:start w:val="0"/>
      <w:numFmt w:val="bullet"/>
      <w:lvlText w:val=""/>
      <w:lvlJc w:val="left"/>
      <w:pPr>
        <w:tabs>
          <w:tab w:val="num" w:pos="0"/>
        </w:tabs>
        <w:ind w:left="2520" w:hanging="360"/>
      </w:pPr>
      <w:rPr>
        <w:rFonts w:ascii="Wingdings" w:hAnsi="Wingdings" w:cs="Wingdings" w:hint="default"/>
      </w:rPr>
    </w:lvl>
    <w:lvl w:ilvl="3">
      <w:start w:val="0"/>
      <w:numFmt w:val="bullet"/>
      <w:lvlText w:val=""/>
      <w:lvlJc w:val="left"/>
      <w:pPr>
        <w:tabs>
          <w:tab w:val="num" w:pos="0"/>
        </w:tabs>
        <w:ind w:left="3240" w:hanging="360"/>
      </w:pPr>
      <w:rPr>
        <w:rFonts w:ascii="Symbol" w:hAnsi="Symbol" w:cs="Symbol" w:hint="default"/>
      </w:rPr>
    </w:lvl>
    <w:lvl w:ilvl="4">
      <w:start w:val="0"/>
      <w:numFmt w:val="bullet"/>
      <w:lvlText w:val="o"/>
      <w:lvlJc w:val="left"/>
      <w:pPr>
        <w:tabs>
          <w:tab w:val="num" w:pos="0"/>
        </w:tabs>
        <w:ind w:left="3960" w:hanging="360"/>
      </w:pPr>
      <w:rPr>
        <w:rFonts w:ascii="Courier New" w:hAnsi="Courier New" w:cs="Courier New" w:hint="default"/>
      </w:rPr>
    </w:lvl>
    <w:lvl w:ilvl="5">
      <w:start w:val="0"/>
      <w:numFmt w:val="bullet"/>
      <w:lvlText w:val=""/>
      <w:lvlJc w:val="left"/>
      <w:pPr>
        <w:tabs>
          <w:tab w:val="num" w:pos="0"/>
        </w:tabs>
        <w:ind w:left="4680" w:hanging="360"/>
      </w:pPr>
      <w:rPr>
        <w:rFonts w:ascii="Wingdings" w:hAnsi="Wingdings" w:cs="Wingdings" w:hint="default"/>
      </w:rPr>
    </w:lvl>
    <w:lvl w:ilvl="6">
      <w:start w:val="0"/>
      <w:numFmt w:val="bullet"/>
      <w:lvlText w:val=""/>
      <w:lvlJc w:val="left"/>
      <w:pPr>
        <w:tabs>
          <w:tab w:val="num" w:pos="0"/>
        </w:tabs>
        <w:ind w:left="5400" w:hanging="360"/>
      </w:pPr>
      <w:rPr>
        <w:rFonts w:ascii="Symbol" w:hAnsi="Symbol" w:cs="Symbol" w:hint="default"/>
      </w:rPr>
    </w:lvl>
    <w:lvl w:ilvl="7">
      <w:start w:val="0"/>
      <w:numFmt w:val="bullet"/>
      <w:lvlText w:val="o"/>
      <w:lvlJc w:val="left"/>
      <w:pPr>
        <w:tabs>
          <w:tab w:val="num" w:pos="0"/>
        </w:tabs>
        <w:ind w:left="6120" w:hanging="360"/>
      </w:pPr>
      <w:rPr>
        <w:rFonts w:ascii="Courier New" w:hAnsi="Courier New" w:cs="Courier New" w:hint="default"/>
      </w:rPr>
    </w:lvl>
    <w:lvl w:ilvl="8">
      <w:start w:val="0"/>
      <w:numFmt w:val="bullet"/>
      <w:lvlText w:val=""/>
      <w:lvlJc w:val="left"/>
      <w:pPr>
        <w:tabs>
          <w:tab w:val="num" w:pos="0"/>
        </w:tabs>
        <w:ind w:left="6840" w:hanging="360"/>
      </w:pPr>
      <w:rPr>
        <w:rFonts w:ascii="Wingdings" w:hAnsi="Wingdings" w:cs="Wingdings" w:hint="default"/>
      </w:rPr>
    </w:lvl>
  </w:abstractNum>
  <w:abstractNum w:abstractNumId="142">
    <w:lvl w:ilvl="0">
      <w:numFmt w:val="bullet"/>
      <w:lvlText w:val=""/>
      <w:lvlJc w:val="left"/>
      <w:pPr>
        <w:tabs>
          <w:tab w:val="num" w:pos="0"/>
        </w:tabs>
        <w:ind w:left="1080" w:hanging="360"/>
      </w:pPr>
      <w:rPr>
        <w:rFonts w:ascii="Symbol" w:hAnsi="Symbol" w:cs="Symbol" w:hint="default"/>
      </w:rPr>
    </w:lvl>
    <w:lvl w:ilvl="1">
      <w:start w:val="0"/>
      <w:numFmt w:val="bullet"/>
      <w:lvlText w:val="o"/>
      <w:lvlJc w:val="left"/>
      <w:pPr>
        <w:tabs>
          <w:tab w:val="num" w:pos="0"/>
        </w:tabs>
        <w:ind w:left="1800" w:hanging="360"/>
      </w:pPr>
      <w:rPr>
        <w:rFonts w:ascii="Courier New" w:hAnsi="Courier New" w:cs="Courier New" w:hint="default"/>
      </w:rPr>
    </w:lvl>
    <w:lvl w:ilvl="2">
      <w:start w:val="0"/>
      <w:numFmt w:val="bullet"/>
      <w:lvlText w:val=""/>
      <w:lvlJc w:val="left"/>
      <w:pPr>
        <w:tabs>
          <w:tab w:val="num" w:pos="0"/>
        </w:tabs>
        <w:ind w:left="2520" w:hanging="360"/>
      </w:pPr>
      <w:rPr>
        <w:rFonts w:ascii="Wingdings" w:hAnsi="Wingdings" w:cs="Wingdings" w:hint="default"/>
      </w:rPr>
    </w:lvl>
    <w:lvl w:ilvl="3">
      <w:start w:val="0"/>
      <w:numFmt w:val="bullet"/>
      <w:lvlText w:val=""/>
      <w:lvlJc w:val="left"/>
      <w:pPr>
        <w:tabs>
          <w:tab w:val="num" w:pos="0"/>
        </w:tabs>
        <w:ind w:left="3240" w:hanging="360"/>
      </w:pPr>
      <w:rPr>
        <w:rFonts w:ascii="Symbol" w:hAnsi="Symbol" w:cs="Symbol" w:hint="default"/>
      </w:rPr>
    </w:lvl>
    <w:lvl w:ilvl="4">
      <w:start w:val="0"/>
      <w:numFmt w:val="bullet"/>
      <w:lvlText w:val="o"/>
      <w:lvlJc w:val="left"/>
      <w:pPr>
        <w:tabs>
          <w:tab w:val="num" w:pos="0"/>
        </w:tabs>
        <w:ind w:left="3960" w:hanging="360"/>
      </w:pPr>
      <w:rPr>
        <w:rFonts w:ascii="Courier New" w:hAnsi="Courier New" w:cs="Courier New" w:hint="default"/>
      </w:rPr>
    </w:lvl>
    <w:lvl w:ilvl="5">
      <w:start w:val="0"/>
      <w:numFmt w:val="bullet"/>
      <w:lvlText w:val=""/>
      <w:lvlJc w:val="left"/>
      <w:pPr>
        <w:tabs>
          <w:tab w:val="num" w:pos="0"/>
        </w:tabs>
        <w:ind w:left="4680" w:hanging="360"/>
      </w:pPr>
      <w:rPr>
        <w:rFonts w:ascii="Wingdings" w:hAnsi="Wingdings" w:cs="Wingdings" w:hint="default"/>
      </w:rPr>
    </w:lvl>
    <w:lvl w:ilvl="6">
      <w:start w:val="0"/>
      <w:numFmt w:val="bullet"/>
      <w:lvlText w:val=""/>
      <w:lvlJc w:val="left"/>
      <w:pPr>
        <w:tabs>
          <w:tab w:val="num" w:pos="0"/>
        </w:tabs>
        <w:ind w:left="5400" w:hanging="360"/>
      </w:pPr>
      <w:rPr>
        <w:rFonts w:ascii="Symbol" w:hAnsi="Symbol" w:cs="Symbol" w:hint="default"/>
      </w:rPr>
    </w:lvl>
    <w:lvl w:ilvl="7">
      <w:start w:val="0"/>
      <w:numFmt w:val="bullet"/>
      <w:lvlText w:val="o"/>
      <w:lvlJc w:val="left"/>
      <w:pPr>
        <w:tabs>
          <w:tab w:val="num" w:pos="0"/>
        </w:tabs>
        <w:ind w:left="6120" w:hanging="360"/>
      </w:pPr>
      <w:rPr>
        <w:rFonts w:ascii="Courier New" w:hAnsi="Courier New" w:cs="Courier New" w:hint="default"/>
      </w:rPr>
    </w:lvl>
    <w:lvl w:ilvl="8">
      <w:start w:val="0"/>
      <w:numFmt w:val="bullet"/>
      <w:lvlText w:val=""/>
      <w:lvlJc w:val="left"/>
      <w:pPr>
        <w:tabs>
          <w:tab w:val="num" w:pos="0"/>
        </w:tabs>
        <w:ind w:left="6840" w:hanging="360"/>
      </w:pPr>
      <w:rPr>
        <w:rFonts w:ascii="Wingdings" w:hAnsi="Wingdings" w:cs="Wingdings" w:hint="default"/>
      </w:rPr>
    </w:lvl>
  </w:abstractNum>
  <w:abstractNum w:abstractNumId="14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4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45">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46">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47">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4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49">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0">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1">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2">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4">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5">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6">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7">
    <w:lvl w:ilvl="0">
      <w:numFmt w:val="bullet"/>
      <w:lvlText w:val=""/>
      <w:lvlJc w:val="left"/>
      <w:pPr>
        <w:tabs>
          <w:tab w:val="num" w:pos="0"/>
        </w:tabs>
        <w:ind w:left="720" w:hanging="360"/>
      </w:pPr>
      <w:rPr>
        <w:rFonts w:ascii="Symbol" w:hAnsi="Symbol" w:cs="Symbol" w:hint="default"/>
      </w:rPr>
    </w:lvl>
    <w:lvl w:ilvl="1">
      <w:start w:val="0"/>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0"/>
      <w:numFmt w:val="bullet"/>
      <w:lvlText w:val=""/>
      <w:lvlJc w:val="left"/>
      <w:pPr>
        <w:tabs>
          <w:tab w:val="num" w:pos="0"/>
        </w:tabs>
        <w:ind w:left="2880" w:hanging="360"/>
      </w:pPr>
      <w:rPr>
        <w:rFonts w:ascii="Symbol" w:hAnsi="Symbol" w:cs="Symbol" w:hint="default"/>
      </w:rPr>
    </w:lvl>
    <w:lvl w:ilvl="4">
      <w:start w:val="0"/>
      <w:numFmt w:val="bullet"/>
      <w:lvlText w:val="o"/>
      <w:lvlJc w:val="left"/>
      <w:pPr>
        <w:tabs>
          <w:tab w:val="num" w:pos="0"/>
        </w:tabs>
        <w:ind w:left="3600" w:hanging="360"/>
      </w:pPr>
      <w:rPr>
        <w:rFonts w:ascii="Courier New" w:hAnsi="Courier New" w:cs="Courier New" w:hint="default"/>
      </w:rPr>
    </w:lvl>
    <w:lvl w:ilvl="5">
      <w:start w:val="0"/>
      <w:numFmt w:val="bullet"/>
      <w:lvlText w:val=""/>
      <w:lvlJc w:val="left"/>
      <w:pPr>
        <w:tabs>
          <w:tab w:val="num" w:pos="0"/>
        </w:tabs>
        <w:ind w:left="4320" w:hanging="360"/>
      </w:pPr>
      <w:rPr>
        <w:rFonts w:ascii="Wingdings" w:hAnsi="Wingdings" w:cs="Wingdings" w:hint="default"/>
      </w:rPr>
    </w:lvl>
    <w:lvl w:ilvl="6">
      <w:start w:val="0"/>
      <w:numFmt w:val="bullet"/>
      <w:lvlText w:val=""/>
      <w:lvlJc w:val="left"/>
      <w:pPr>
        <w:tabs>
          <w:tab w:val="num" w:pos="0"/>
        </w:tabs>
        <w:ind w:left="5040" w:hanging="360"/>
      </w:pPr>
      <w:rPr>
        <w:rFonts w:ascii="Symbol" w:hAnsi="Symbol" w:cs="Symbol" w:hint="default"/>
      </w:rPr>
    </w:lvl>
    <w:lvl w:ilvl="7">
      <w:start w:val="0"/>
      <w:numFmt w:val="bullet"/>
      <w:lvlText w:val="o"/>
      <w:lvlJc w:val="left"/>
      <w:pPr>
        <w:tabs>
          <w:tab w:val="num" w:pos="0"/>
        </w:tabs>
        <w:ind w:left="5760" w:hanging="360"/>
      </w:pPr>
      <w:rPr>
        <w:rFonts w:ascii="Courier New" w:hAnsi="Courier New" w:cs="Courier New" w:hint="default"/>
      </w:rPr>
    </w:lvl>
    <w:lvl w:ilvl="8">
      <w:start w:val="0"/>
      <w:numFmt w:val="bullet"/>
      <w:lvlText w:val=""/>
      <w:lvlJc w:val="left"/>
      <w:pPr>
        <w:tabs>
          <w:tab w:val="num" w:pos="0"/>
        </w:tabs>
        <w:ind w:left="6480" w:hanging="360"/>
      </w:pPr>
      <w:rPr>
        <w:rFonts w:ascii="Wingdings" w:hAnsi="Wingdings" w:cs="Wingdings" w:hint="default"/>
      </w:rPr>
    </w:lvl>
  </w:abstractNum>
  <w:abstractNum w:abstractNumId="15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9">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6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24"/>
    <w:lvlOverride w:ilvl="0">
      <w:startOverride w:val="1"/>
    </w:lvlOverride>
  </w:num>
  <w:num w:numId="162">
    <w:abstractNumId w:val="25"/>
    <w:lvlOverride w:ilvl="0">
      <w:startOverride w:val="1"/>
    </w:lvlOverride>
  </w:num>
  <w:num w:numId="163">
    <w:abstractNumId w:val="25"/>
  </w:num>
  <w:num w:numId="164">
    <w:abstractNumId w:val="25"/>
  </w:num>
  <w:num w:numId="165">
    <w:abstractNumId w:val="25"/>
  </w:num>
  <w:num w:numId="166">
    <w:abstractNumId w:val="25"/>
  </w:num>
  <w:num w:numId="167">
    <w:abstractNumId w:val="25"/>
  </w:num>
  <w:num w:numId="168">
    <w:abstractNumId w:val="25"/>
  </w:num>
  <w:num w:numId="169">
    <w:abstractNumId w:val="25"/>
  </w:num>
  <w:num w:numId="170">
    <w:abstractNumId w:val="25"/>
  </w:num>
  <w:num w:numId="171">
    <w:abstractNumId w:val="25"/>
  </w:num>
  <w:num w:numId="172">
    <w:abstractNumId w:val="25"/>
  </w:num>
  <w:num w:numId="173">
    <w:abstractNumId w:val="25"/>
  </w:num>
  <w:num w:numId="174">
    <w:abstractNumId w:val="25"/>
  </w:num>
  <w:num w:numId="175">
    <w:abstractNumId w:val="25"/>
  </w:num>
  <w:num w:numId="176">
    <w:abstractNumId w:val="25"/>
  </w:num>
  <w:num w:numId="177">
    <w:abstractNumId w:val="25"/>
  </w:num>
  <w:num w:numId="178">
    <w:abstractNumId w:val="25"/>
  </w:num>
  <w:num w:numId="179">
    <w:abstractNumId w:val="25"/>
  </w:num>
  <w:num w:numId="180">
    <w:abstractNumId w:val="25"/>
  </w:num>
  <w:num w:numId="181">
    <w:abstractNumId w:val="25"/>
  </w:num>
  <w:num w:numId="182">
    <w:abstractNumId w:val="25"/>
  </w:num>
  <w:num w:numId="183">
    <w:abstractNumId w:val="25"/>
  </w:num>
  <w:num w:numId="184">
    <w:abstractNumId w:val="25"/>
  </w:num>
  <w:num w:numId="185">
    <w:abstractNumId w:val="4"/>
  </w:num>
  <w:num w:numId="186">
    <w:abstractNumId w:val="4"/>
  </w:num>
  <w:num w:numId="187">
    <w:abstractNumId w:val="24"/>
  </w:num>
  <w:num w:numId="188">
    <w:abstractNumId w:val="5"/>
  </w:num>
  <w:num w:numId="189">
    <w:abstractNumId w:val="5"/>
  </w:num>
  <w:num w:numId="190">
    <w:abstractNumId w:val="5"/>
  </w:num>
  <w:num w:numId="191">
    <w:abstractNumId w:val="5"/>
  </w:num>
  <w:num w:numId="192">
    <w:abstractNumId w:val="24"/>
  </w:num>
  <w:num w:numId="193">
    <w:abstractNumId w:val="24"/>
  </w:num>
  <w:num w:numId="194">
    <w:abstractNumId w:val="6"/>
  </w:num>
  <w:num w:numId="195">
    <w:abstractNumId w:val="58"/>
    <w:lvlOverride w:ilvl="0">
      <w:startOverride w:val="1"/>
    </w:lvlOverride>
  </w:num>
  <w:num w:numId="196">
    <w:abstractNumId w:val="58"/>
  </w:num>
  <w:num w:numId="197">
    <w:abstractNumId w:val="58"/>
  </w:num>
  <w:num w:numId="198">
    <w:abstractNumId w:val="58"/>
  </w:num>
  <w:num w:numId="199">
    <w:abstractNumId w:val="58"/>
  </w:num>
  <w:num w:numId="200">
    <w:abstractNumId w:val="58"/>
  </w:num>
  <w:num w:numId="201">
    <w:abstractNumId w:val="64"/>
    <w:lvlOverride w:ilvl="0">
      <w:startOverride w:val="1"/>
    </w:lvlOverride>
  </w:num>
  <w:num w:numId="202">
    <w:abstractNumId w:val="64"/>
  </w:num>
  <w:num w:numId="203">
    <w:abstractNumId w:val="64"/>
  </w:num>
  <w:num w:numId="204">
    <w:abstractNumId w:val="64"/>
  </w:num>
  <w:num w:numId="205">
    <w:abstractNumId w:val="64"/>
  </w:num>
  <w:num w:numId="206">
    <w:abstractNumId w:val="64"/>
  </w:num>
  <w:num w:numId="207">
    <w:abstractNumId w:val="64"/>
  </w:num>
  <w:num w:numId="208">
    <w:abstractNumId w:val="24"/>
  </w:num>
  <w:num w:numId="209">
    <w:abstractNumId w:val="24"/>
  </w:num>
  <w:num w:numId="210">
    <w:abstractNumId w:val="24"/>
  </w:num>
  <w:num w:numId="211">
    <w:abstractNumId w:val="24"/>
  </w:num>
  <w:num w:numId="212">
    <w:abstractNumId w:val="24"/>
  </w:num>
  <w:num w:numId="213">
    <w:abstractNumId w:val="76"/>
    <w:lvlOverride w:ilvl="0">
      <w:startOverride w:val="1"/>
    </w:lvlOverride>
  </w:num>
  <w:num w:numId="214">
    <w:abstractNumId w:val="76"/>
  </w:num>
  <w:num w:numId="215">
    <w:abstractNumId w:val="24"/>
  </w:num>
  <w:num w:numId="216">
    <w:abstractNumId w:val="24"/>
  </w:num>
  <w:num w:numId="217">
    <w:abstractNumId w:val="24"/>
  </w:num>
  <w:num w:numId="218">
    <w:abstractNumId w:val="24"/>
  </w:num>
  <w:num w:numId="219">
    <w:abstractNumId w:val="24"/>
  </w:num>
  <w:num w:numId="220">
    <w:abstractNumId w:val="24"/>
  </w:num>
  <w:num w:numId="221">
    <w:abstractNumId w:val="7"/>
  </w:num>
  <w:num w:numId="222">
    <w:abstractNumId w:val="7"/>
  </w:num>
  <w:num w:numId="223">
    <w:abstractNumId w:val="7"/>
  </w:num>
  <w:num w:numId="224">
    <w:abstractNumId w:val="8"/>
  </w:num>
  <w:num w:numId="225">
    <w:abstractNumId w:val="8"/>
  </w:num>
  <w:num w:numId="226">
    <w:abstractNumId w:val="8"/>
  </w:num>
  <w:num w:numId="227">
    <w:abstractNumId w:val="8"/>
  </w:num>
  <w:num w:numId="228">
    <w:abstractNumId w:val="24"/>
  </w:num>
  <w:num w:numId="229">
    <w:abstractNumId w:val="24"/>
  </w:num>
  <w:num w:numId="230">
    <w:abstractNumId w:val="9"/>
  </w:num>
  <w:num w:numId="231">
    <w:abstractNumId w:val="9"/>
  </w:num>
  <w:num w:numId="232">
    <w:abstractNumId w:val="9"/>
  </w:num>
  <w:num w:numId="233">
    <w:abstractNumId w:val="9"/>
  </w:num>
  <w:num w:numId="234">
    <w:abstractNumId w:val="9"/>
  </w:num>
  <w:num w:numId="235">
    <w:abstractNumId w:val="9"/>
  </w:num>
  <w:num w:numId="236">
    <w:abstractNumId w:val="9"/>
  </w:num>
  <w:num w:numId="237">
    <w:abstractNumId w:val="9"/>
  </w:num>
  <w:num w:numId="238">
    <w:abstractNumId w:val="10"/>
  </w:num>
  <w:num w:numId="239">
    <w:abstractNumId w:val="11"/>
  </w:num>
  <w:num w:numId="240">
    <w:abstractNumId w:val="11"/>
  </w:num>
  <w:num w:numId="241">
    <w:abstractNumId w:val="12"/>
  </w:num>
  <w:num w:numId="242">
    <w:abstractNumId w:val="12"/>
  </w:num>
  <w:num w:numId="243">
    <w:abstractNumId w:val="13"/>
  </w:num>
  <w:num w:numId="244">
    <w:abstractNumId w:val="13"/>
  </w:num>
  <w:num w:numId="245">
    <w:abstractNumId w:val="24"/>
  </w:num>
  <w:num w:numId="246">
    <w:abstractNumId w:val="24"/>
  </w:num>
  <w:num w:numId="247">
    <w:abstractNumId w:val="24"/>
  </w:num>
  <w:num w:numId="248">
    <w:abstractNumId w:val="24"/>
  </w:num>
  <w:num w:numId="249">
    <w:abstractNumId w:val="24"/>
  </w:num>
  <w:num w:numId="250">
    <w:abstractNumId w:val="24"/>
  </w:num>
  <w:num w:numId="251">
    <w:abstractNumId w:val="24"/>
  </w:num>
  <w:num w:numId="252">
    <w:abstractNumId w:val="24"/>
  </w:num>
  <w:num w:numId="253">
    <w:abstractNumId w:val="24"/>
  </w:num>
  <w:num w:numId="254">
    <w:abstractNumId w:val="24"/>
  </w:num>
  <w:num w:numId="255">
    <w:abstractNumId w:val="24"/>
  </w:num>
  <w:num w:numId="256">
    <w:abstractNumId w:val="24"/>
  </w:num>
  <w:num w:numId="257">
    <w:abstractNumId w:val="120"/>
    <w:lvlOverride w:ilvl="0">
      <w:startOverride w:val="1"/>
    </w:lvlOverride>
  </w:num>
  <w:num w:numId="258">
    <w:abstractNumId w:val="120"/>
  </w:num>
  <w:num w:numId="259">
    <w:abstractNumId w:val="120"/>
  </w:num>
  <w:num w:numId="260">
    <w:abstractNumId w:val="24"/>
  </w:num>
  <w:num w:numId="261">
    <w:abstractNumId w:val="14"/>
  </w:num>
  <w:num w:numId="262">
    <w:abstractNumId w:val="15"/>
  </w:num>
  <w:num w:numId="263">
    <w:abstractNumId w:val="15"/>
  </w:num>
  <w:num w:numId="264">
    <w:abstractNumId w:val="24"/>
  </w:num>
  <w:num w:numId="265">
    <w:abstractNumId w:val="24"/>
  </w:num>
  <w:num w:numId="266">
    <w:abstractNumId w:val="16"/>
  </w:num>
  <w:num w:numId="267">
    <w:abstractNumId w:val="16"/>
  </w:num>
  <w:num w:numId="268">
    <w:abstractNumId w:val="16"/>
  </w:num>
  <w:num w:numId="269">
    <w:abstractNumId w:val="16"/>
  </w:num>
  <w:num w:numId="270">
    <w:abstractNumId w:val="17"/>
  </w:num>
  <w:num w:numId="271">
    <w:abstractNumId w:val="17"/>
  </w:num>
  <w:num w:numId="272">
    <w:abstractNumId w:val="24"/>
  </w:num>
  <w:num w:numId="273">
    <w:abstractNumId w:val="18"/>
  </w:num>
  <w:num w:numId="274">
    <w:abstractNumId w:val="18"/>
  </w:num>
  <w:num w:numId="275">
    <w:abstractNumId w:val="18"/>
  </w:num>
  <w:num w:numId="276">
    <w:abstractNumId w:val="18"/>
  </w:num>
  <w:num w:numId="277">
    <w:abstractNumId w:val="19"/>
  </w:num>
  <w:num w:numId="278">
    <w:abstractNumId w:val="19"/>
  </w:num>
  <w:num w:numId="279">
    <w:abstractNumId w:val="19"/>
  </w:num>
  <w:num w:numId="280">
    <w:abstractNumId w:val="24"/>
  </w:num>
  <w:num w:numId="281">
    <w:abstractNumId w:val="144"/>
    <w:lvlOverride w:ilvl="0">
      <w:startOverride w:val="1"/>
    </w:lvlOverride>
  </w:num>
  <w:num w:numId="282">
    <w:abstractNumId w:val="144"/>
  </w:num>
  <w:num w:numId="283">
    <w:abstractNumId w:val="144"/>
  </w:num>
  <w:num w:numId="284">
    <w:abstractNumId w:val="24"/>
  </w:num>
  <w:num w:numId="285">
    <w:abstractNumId w:val="24"/>
  </w:num>
  <w:num w:numId="286">
    <w:abstractNumId w:val="24"/>
  </w:num>
  <w:num w:numId="287">
    <w:abstractNumId w:val="24"/>
  </w:num>
  <w:num w:numId="288">
    <w:abstractNumId w:val="24"/>
  </w:num>
  <w:num w:numId="289">
    <w:abstractNumId w:val="24"/>
  </w:num>
  <w:num w:numId="290">
    <w:abstractNumId w:val="24"/>
  </w:num>
  <w:num w:numId="291">
    <w:abstractNumId w:val="24"/>
  </w:num>
  <w:num w:numId="292">
    <w:abstractNumId w:val="24"/>
  </w:num>
  <w:num w:numId="293">
    <w:abstractNumId w:val="24"/>
  </w:num>
  <w:num w:numId="294">
    <w:abstractNumId w:val="20"/>
  </w:num>
  <w:num w:numId="295">
    <w:abstractNumId w:val="24"/>
  </w:num>
</w:numbering>
</file>

<file path=word/settings.xml><?xml version="1.0" encoding="utf-8"?>
<w:settings xmlns:w="http://schemas.openxmlformats.org/wordprocessingml/2006/main">
  <w:zoom w:percent="100"/>
  <w:defaultTabStop w:val="708"/>
  <w:autoHyphenation w:val="true"/>
  <w:hyphenationZone w:val="283"/>
  <w:compat>
    <w:compatSetting w:name="compatibilityMode" w:uri="http://schemas.microsoft.com/office/word" w:val="12"/>
  </w:compat>
  <w:themeFontLang w:val="it-IT"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SimSun" w:cs="Mangal"/>
        <w:kern w:val="2"/>
        <w:sz w:val="24"/>
        <w:szCs w:val="24"/>
        <w:lang w:val="it-IT" w:eastAsia="zh-CN" w:bidi="hi-IN"/>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val="false"/>
      <w:suppressAutoHyphens w:val="true"/>
      <w:bidi w:val="0"/>
      <w:spacing w:before="0" w:after="0"/>
      <w:jc w:val="left"/>
      <w:textAlignment w:val="baseline"/>
    </w:pPr>
    <w:rPr>
      <w:rFonts w:ascii="Times New Roman" w:hAnsi="Times New Roman" w:eastAsia="SimSun" w:cs="Mangal"/>
      <w:color w:val="auto"/>
      <w:kern w:val="2"/>
      <w:sz w:val="24"/>
      <w:szCs w:val="24"/>
      <w:lang w:val="it-IT" w:eastAsia="zh-CN" w:bidi="hi-IN"/>
    </w:rPr>
  </w:style>
  <w:style w:type="paragraph" w:styleId="Heading1">
    <w:name w:val="Heading 1"/>
    <w:basedOn w:val="StandardWW"/>
    <w:next w:val="TextbodyWW"/>
    <w:qFormat/>
    <w:pPr>
      <w:keepNext w:val="true"/>
      <w:pageBreakBefore/>
      <w:numPr>
        <w:ilvl w:val="0"/>
        <w:numId w:val="1"/>
      </w:numPr>
      <w:suppressLineNumbers/>
      <w:snapToGrid w:val="false"/>
      <w:spacing w:lineRule="auto" w:line="240" w:before="120" w:after="120"/>
      <w:outlineLvl w:val="0"/>
    </w:pPr>
    <w:rPr>
      <w:rFonts w:ascii="Calibri" w:hAnsi="Calibri" w:eastAsia="Calibri" w:cs="Calibri"/>
      <w:b/>
      <w:color w:val="000000"/>
      <w:sz w:val="32"/>
      <w:szCs w:val="32"/>
    </w:rPr>
  </w:style>
  <w:style w:type="paragraph" w:styleId="Heading2">
    <w:name w:val="Heading 2"/>
    <w:basedOn w:val="Heading1"/>
    <w:next w:val="StandardWW"/>
    <w:qFormat/>
    <w:pPr>
      <w:outlineLvl w:val="1"/>
    </w:pPr>
    <w:rPr>
      <w:sz w:val="28"/>
      <w:szCs w:val="28"/>
    </w:rPr>
  </w:style>
  <w:style w:type="paragraph" w:styleId="Heading3">
    <w:name w:val="Heading 3"/>
    <w:basedOn w:val="Heading2"/>
    <w:next w:val="StandardWW"/>
    <w:qFormat/>
    <w:pPr>
      <w:ind w:hanging="505" w:left="505"/>
      <w:outlineLvl w:val="2"/>
    </w:pPr>
    <w:rPr>
      <w:b w:val="false"/>
      <w:bCs/>
    </w:rPr>
  </w:style>
  <w:style w:type="paragraph" w:styleId="Heading4">
    <w:name w:val="Heading 4"/>
    <w:basedOn w:val="Heading3"/>
    <w:next w:val="StandardWW"/>
    <w:qFormat/>
    <w:pPr>
      <w:ind w:hanging="646" w:left="646"/>
      <w:outlineLvl w:val="3"/>
    </w:pPr>
    <w:rPr>
      <w:b/>
      <w:bCs w:val="false"/>
      <w:sz w:val="24"/>
      <w:szCs w:val="24"/>
      <w:u w:val="single"/>
    </w:rPr>
  </w:style>
  <w:style w:type="paragraph" w:styleId="Heading5">
    <w:name w:val="Heading 5"/>
    <w:basedOn w:val="StandardWW"/>
    <w:next w:val="StandardWW"/>
    <w:qFormat/>
    <w:pPr>
      <w:keepNext w:val="true"/>
      <w:jc w:val="right"/>
      <w:outlineLvl w:val="4"/>
    </w:pPr>
    <w:rPr>
      <w:rFonts w:eastAsia="Arial"/>
      <w:b/>
      <w:i/>
      <w:color w:val="FF0000"/>
      <w:sz w:val="40"/>
      <w:lang w:val="en-GB"/>
    </w:rPr>
  </w:style>
  <w:style w:type="paragraph" w:styleId="Heading6">
    <w:name w:val="Heading 6"/>
    <w:basedOn w:val="StandardWW"/>
    <w:next w:val="StandardWW"/>
    <w:qFormat/>
    <w:pPr>
      <w:keepNext w:val="true"/>
      <w:jc w:val="center"/>
      <w:outlineLvl w:val="5"/>
    </w:pPr>
    <w:rPr>
      <w:rFonts w:eastAsia="Arial"/>
      <w:i/>
      <w:sz w:val="22"/>
    </w:rPr>
  </w:style>
  <w:style w:type="paragraph" w:styleId="Heading7">
    <w:name w:val="Heading 7"/>
    <w:basedOn w:val="StandardWW"/>
    <w:next w:val="StandardWW"/>
    <w:qFormat/>
    <w:pPr>
      <w:keepNext w:val="true"/>
      <w:overflowPunct w:val="false"/>
      <w:outlineLvl w:val="6"/>
    </w:pPr>
    <w:rPr>
      <w:rFonts w:eastAsia="Arial"/>
      <w:b/>
      <w:bCs/>
      <w:iCs/>
      <w:sz w:val="24"/>
    </w:rPr>
  </w:style>
  <w:style w:type="paragraph" w:styleId="Heading8">
    <w:name w:val="Heading 8"/>
    <w:basedOn w:val="StandardWW"/>
    <w:next w:val="StandardWW"/>
    <w:qFormat/>
    <w:pPr>
      <w:keepNext w:val="true"/>
      <w:ind w:firstLine="360"/>
      <w:outlineLvl w:val="7"/>
    </w:pPr>
    <w:rPr>
      <w:rFonts w:eastAsia="Arial"/>
      <w:i/>
      <w:iCs/>
      <w:sz w:val="24"/>
    </w:rPr>
  </w:style>
  <w:style w:type="paragraph" w:styleId="Heading9">
    <w:name w:val="Heading 9"/>
    <w:basedOn w:val="StandardWW"/>
    <w:next w:val="StandardWW"/>
    <w:qFormat/>
    <w:pPr>
      <w:keepNext w:val="true"/>
      <w:jc w:val="center"/>
      <w:outlineLvl w:val="8"/>
    </w:pPr>
    <w:rPr>
      <w:rFonts w:eastAsia="Arial"/>
      <w:sz w:val="24"/>
    </w:rPr>
  </w:style>
  <w:style w:type="character" w:styleId="DefaultParagraphFont" w:default="1">
    <w:name w:val="Default Paragraph Font"/>
    <w:uiPriority w:val="1"/>
    <w:semiHidden/>
    <w:unhideWhenUsed/>
    <w:qFormat/>
    <w:rPr/>
  </w:style>
  <w:style w:type="character" w:styleId="DefaultParagraphFontWW" w:customStyle="1">
    <w:name w:val="Default Paragraph Font (WW)"/>
    <w:qFormat/>
    <w:rPr/>
  </w:style>
  <w:style w:type="character" w:styleId="WW8Num3z0" w:customStyle="1">
    <w:name w:val="WW8Num3z0"/>
    <w:qFormat/>
    <w:rPr>
      <w:rFonts w:ascii="Arial" w:hAnsi="Arial" w:eastAsia="Arial" w:cs="Arial"/>
    </w:rPr>
  </w:style>
  <w:style w:type="character" w:styleId="WW8Num4z0" w:customStyle="1">
    <w:name w:val="WW8Num4z0"/>
    <w:qFormat/>
    <w:rPr>
      <w:rFonts w:ascii="Symbol" w:hAnsi="Symbol" w:eastAsia="Symbol" w:cs="Symbol"/>
    </w:rPr>
  </w:style>
  <w:style w:type="character" w:styleId="WW8Num4z1" w:customStyle="1">
    <w:name w:val="WW8Num4z1"/>
    <w:qFormat/>
    <w:rPr>
      <w:rFonts w:ascii="Courier New" w:hAnsi="Courier New" w:eastAsia="Courier New" w:cs="Courier New"/>
    </w:rPr>
  </w:style>
  <w:style w:type="character" w:styleId="WW8Num4z2" w:customStyle="1">
    <w:name w:val="WW8Num4z2"/>
    <w:qFormat/>
    <w:rPr>
      <w:rFonts w:ascii="Wingdings" w:hAnsi="Wingdings" w:eastAsia="Wingdings" w:cs="Wingdings"/>
    </w:rPr>
  </w:style>
  <w:style w:type="character" w:styleId="WW8Num5z0" w:customStyle="1">
    <w:name w:val="WW8Num5z0"/>
    <w:qFormat/>
    <w:rPr>
      <w:rFonts w:ascii="Arial" w:hAnsi="Arial" w:eastAsia="Arial" w:cs="Arial"/>
      <w:sz w:val="20"/>
    </w:rPr>
  </w:style>
  <w:style w:type="character" w:styleId="WW8Num10z0" w:customStyle="1">
    <w:name w:val="WW8Num10z0"/>
    <w:qFormat/>
    <w:rPr>
      <w:rFonts w:ascii="Antigoni" w:hAnsi="Antigoni" w:eastAsia="Times New Roman" w:cs="Times New Roman"/>
    </w:rPr>
  </w:style>
  <w:style w:type="character" w:styleId="WW8Num10z1" w:customStyle="1">
    <w:name w:val="WW8Num10z1"/>
    <w:qFormat/>
    <w:rPr>
      <w:rFonts w:ascii="Courier New" w:hAnsi="Courier New" w:eastAsia="Courier New" w:cs="Courier New"/>
    </w:rPr>
  </w:style>
  <w:style w:type="character" w:styleId="WW8Num10z2" w:customStyle="1">
    <w:name w:val="WW8Num10z2"/>
    <w:qFormat/>
    <w:rPr>
      <w:rFonts w:ascii="Wingdings" w:hAnsi="Wingdings" w:eastAsia="Wingdings" w:cs="Wingdings"/>
    </w:rPr>
  </w:style>
  <w:style w:type="character" w:styleId="WW8Num10z3" w:customStyle="1">
    <w:name w:val="WW8Num10z3"/>
    <w:qFormat/>
    <w:rPr>
      <w:rFonts w:ascii="Symbol" w:hAnsi="Symbol" w:eastAsia="Symbol" w:cs="Symbol"/>
    </w:rPr>
  </w:style>
  <w:style w:type="character" w:styleId="WW8Num16z1" w:customStyle="1">
    <w:name w:val="WW8Num16z1"/>
    <w:qFormat/>
    <w:rPr>
      <w:rFonts w:ascii="Wingdings" w:hAnsi="Wingdings" w:eastAsia="Times New Roman" w:cs="OfficinaSans-Book, "/>
    </w:rPr>
  </w:style>
  <w:style w:type="character" w:styleId="WW8Num18z0" w:customStyle="1">
    <w:name w:val="WW8Num18z0"/>
    <w:qFormat/>
    <w:rPr>
      <w:rFonts w:ascii="Symbol" w:hAnsi="Symbol" w:eastAsia="Symbol" w:cs="Symbol"/>
    </w:rPr>
  </w:style>
  <w:style w:type="character" w:styleId="WW8Num18z1" w:customStyle="1">
    <w:name w:val="WW8Num18z1"/>
    <w:qFormat/>
    <w:rPr>
      <w:rFonts w:ascii="Courier New" w:hAnsi="Courier New" w:eastAsia="Courier New" w:cs="Courier New"/>
    </w:rPr>
  </w:style>
  <w:style w:type="character" w:styleId="WW8Num18z2" w:customStyle="1">
    <w:name w:val="WW8Num18z2"/>
    <w:qFormat/>
    <w:rPr>
      <w:rFonts w:ascii="Wingdings" w:hAnsi="Wingdings" w:eastAsia="Wingdings" w:cs="Wingdings"/>
    </w:rPr>
  </w:style>
  <w:style w:type="character" w:styleId="WW8Num20z0" w:customStyle="1">
    <w:name w:val="WW8Num20z0"/>
    <w:qFormat/>
    <w:rPr>
      <w:rFonts w:ascii="Arial" w:hAnsi="Arial" w:eastAsia="Times New Roman" w:cs="Arial"/>
    </w:rPr>
  </w:style>
  <w:style w:type="character" w:styleId="WW8Num20z1" w:customStyle="1">
    <w:name w:val="WW8Num20z1"/>
    <w:qFormat/>
    <w:rPr>
      <w:rFonts w:ascii="Courier New" w:hAnsi="Courier New" w:eastAsia="Courier New" w:cs="Courier New"/>
    </w:rPr>
  </w:style>
  <w:style w:type="character" w:styleId="WW8Num20z2" w:customStyle="1">
    <w:name w:val="WW8Num20z2"/>
    <w:qFormat/>
    <w:rPr>
      <w:rFonts w:ascii="Wingdings" w:hAnsi="Wingdings" w:eastAsia="Wingdings" w:cs="Wingdings"/>
    </w:rPr>
  </w:style>
  <w:style w:type="character" w:styleId="WW8Num20z3" w:customStyle="1">
    <w:name w:val="WW8Num20z3"/>
    <w:qFormat/>
    <w:rPr>
      <w:rFonts w:ascii="Symbol" w:hAnsi="Symbol" w:eastAsia="Symbol" w:cs="Symbol"/>
    </w:rPr>
  </w:style>
  <w:style w:type="character" w:styleId="WW8Num21z0" w:customStyle="1">
    <w:name w:val="WW8Num21z0"/>
    <w:qFormat/>
    <w:rPr>
      <w:rFonts w:ascii="Symbol" w:hAnsi="Symbol" w:eastAsia="Symbol" w:cs="Symbol"/>
      <w:sz w:val="20"/>
    </w:rPr>
  </w:style>
  <w:style w:type="character" w:styleId="WW8Num21z1" w:customStyle="1">
    <w:name w:val="WW8Num21z1"/>
    <w:qFormat/>
    <w:rPr>
      <w:rFonts w:ascii="Courier New" w:hAnsi="Courier New" w:eastAsia="Courier New" w:cs="Courier New"/>
      <w:sz w:val="20"/>
    </w:rPr>
  </w:style>
  <w:style w:type="character" w:styleId="WW8Num21z2" w:customStyle="1">
    <w:name w:val="WW8Num21z2"/>
    <w:qFormat/>
    <w:rPr>
      <w:rFonts w:ascii="Wingdings" w:hAnsi="Wingdings" w:eastAsia="Wingdings" w:cs="Wingdings"/>
      <w:sz w:val="20"/>
    </w:rPr>
  </w:style>
  <w:style w:type="character" w:styleId="WW8Num22z0" w:customStyle="1">
    <w:name w:val="WW8Num22z0"/>
    <w:qFormat/>
    <w:rPr>
      <w:rFonts w:ascii="Calibri" w:hAnsi="Calibri" w:eastAsia="Calibri" w:cs="Calibri"/>
      <w:b/>
      <w:sz w:val="20"/>
    </w:rPr>
  </w:style>
  <w:style w:type="character" w:styleId="WW8Num25z0" w:customStyle="1">
    <w:name w:val="WW8Num25z0"/>
    <w:qFormat/>
    <w:rPr>
      <w:rFonts w:ascii="Symbol" w:hAnsi="Symbol" w:eastAsia="Symbol" w:cs="Symbol"/>
    </w:rPr>
  </w:style>
  <w:style w:type="character" w:styleId="WW8Num26z1" w:customStyle="1">
    <w:name w:val="WW8Num26z1"/>
    <w:qFormat/>
    <w:rPr>
      <w:rFonts w:ascii="Wingdings" w:hAnsi="Wingdings" w:eastAsia="Times New Roman" w:cs="OfficinaSans-Book, "/>
    </w:rPr>
  </w:style>
  <w:style w:type="character" w:styleId="WW8Num30z0" w:customStyle="1">
    <w:name w:val="WW8Num30z0"/>
    <w:qFormat/>
    <w:rPr>
      <w:rFonts w:ascii="Symbol" w:hAnsi="Symbol" w:eastAsia="Symbol" w:cs="Symbol"/>
    </w:rPr>
  </w:style>
  <w:style w:type="character" w:styleId="WW8Num30z1" w:customStyle="1">
    <w:name w:val="WW8Num30z1"/>
    <w:qFormat/>
    <w:rPr>
      <w:rFonts w:ascii="Courier New" w:hAnsi="Courier New" w:eastAsia="Courier New" w:cs="Courier New"/>
    </w:rPr>
  </w:style>
  <w:style w:type="character" w:styleId="WW8Num30z2" w:customStyle="1">
    <w:name w:val="WW8Num30z2"/>
    <w:qFormat/>
    <w:rPr>
      <w:rFonts w:ascii="Wingdings" w:hAnsi="Wingdings" w:eastAsia="Wingdings" w:cs="Wingdings"/>
    </w:rPr>
  </w:style>
  <w:style w:type="character" w:styleId="WW8Num31z0" w:customStyle="1">
    <w:name w:val="WW8Num31z0"/>
    <w:qFormat/>
    <w:rPr>
      <w:rFonts w:ascii="Symbol" w:hAnsi="Symbol" w:eastAsia="Symbol" w:cs="Symbol"/>
    </w:rPr>
  </w:style>
  <w:style w:type="character" w:styleId="WW8Num31z1" w:customStyle="1">
    <w:name w:val="WW8Num31z1"/>
    <w:qFormat/>
    <w:rPr>
      <w:rFonts w:ascii="Courier New" w:hAnsi="Courier New" w:eastAsia="Courier New" w:cs="Courier New"/>
    </w:rPr>
  </w:style>
  <w:style w:type="character" w:styleId="WW8Num31z2" w:customStyle="1">
    <w:name w:val="WW8Num31z2"/>
    <w:qFormat/>
    <w:rPr>
      <w:rFonts w:ascii="Wingdings" w:hAnsi="Wingdings" w:eastAsia="Wingdings" w:cs="Wingdings"/>
    </w:rPr>
  </w:style>
  <w:style w:type="character" w:styleId="FootnoteSymbolWW" w:customStyle="1">
    <w:name w:val="Footnote Symbol (WW)"/>
    <w:basedOn w:val="DefaultParagraphFontWW"/>
    <w:qFormat/>
    <w:rPr>
      <w:vertAlign w:val="superscript"/>
    </w:rPr>
  </w:style>
  <w:style w:type="character" w:styleId="InternetlinkWW" w:customStyle="1">
    <w:name w:val="Internet link (WW)"/>
    <w:basedOn w:val="DefaultParagraphFontWW"/>
    <w:qFormat/>
    <w:rPr>
      <w:color w:val="0000FF"/>
      <w:u w:val="single"/>
    </w:rPr>
  </w:style>
  <w:style w:type="character" w:styleId="TestocommentoCarattere" w:customStyle="1">
    <w:name w:val="Testo commento Carattere"/>
    <w:basedOn w:val="DefaultParagraphFontWW"/>
    <w:qFormat/>
    <w:rPr/>
  </w:style>
  <w:style w:type="character" w:styleId="TestofumettoCarattere" w:customStyle="1">
    <w:name w:val="Testo fumetto Carattere"/>
    <w:basedOn w:val="DefaultParagraphFontWW"/>
    <w:qFormat/>
    <w:rPr>
      <w:rFonts w:ascii="Tahoma" w:hAnsi="Tahoma" w:eastAsia="Tahoma" w:cs="Tahoma"/>
      <w:sz w:val="16"/>
      <w:szCs w:val="16"/>
    </w:rPr>
  </w:style>
  <w:style w:type="character" w:styleId="StrongEmphasisWW" w:customStyle="1">
    <w:name w:val="Strong Emphasis (WW)"/>
    <w:basedOn w:val="DefaultParagraphFontWW"/>
    <w:qFormat/>
    <w:rPr>
      <w:b/>
      <w:bCs/>
    </w:rPr>
  </w:style>
  <w:style w:type="character" w:styleId="Contentbold" w:customStyle="1">
    <w:name w:val="contentbold"/>
    <w:basedOn w:val="DefaultParagraphFontWW"/>
    <w:qFormat/>
    <w:rPr/>
  </w:style>
  <w:style w:type="character" w:styleId="Content" w:customStyle="1">
    <w:name w:val="content"/>
    <w:basedOn w:val="DefaultParagraphFontWW"/>
    <w:qFormat/>
    <w:rPr/>
  </w:style>
  <w:style w:type="character" w:styleId="PidipaginaCarattere" w:customStyle="1">
    <w:name w:val="Piè di pagina Carattere"/>
    <w:basedOn w:val="DefaultParagraphFontWW"/>
    <w:qFormat/>
    <w:rPr>
      <w:rFonts w:ascii="Arial" w:hAnsi="Arial" w:eastAsia="Arial" w:cs="Arial"/>
    </w:rPr>
  </w:style>
  <w:style w:type="character" w:styleId="Pagenumber">
    <w:name w:val="page number"/>
    <w:basedOn w:val="DefaultParagraphFontWW"/>
    <w:qFormat/>
    <w:rPr>
      <w:rFonts w:eastAsia="Times New Roman" w:cs="Times New Roman"/>
      <w:bCs w:val="false"/>
      <w:iCs w:val="false"/>
      <w:szCs w:val="22"/>
      <w:lang w:val="it-IT"/>
    </w:rPr>
  </w:style>
  <w:style w:type="character" w:styleId="IntestazioneCarattere" w:customStyle="1">
    <w:name w:val="Intestazione Carattere"/>
    <w:basedOn w:val="DefaultParagraphFontWW"/>
    <w:qFormat/>
    <w:rPr>
      <w:rFonts w:ascii="Arial" w:hAnsi="Arial" w:eastAsia="Arial" w:cs="Arial"/>
    </w:rPr>
  </w:style>
  <w:style w:type="character" w:styleId="Rientrocorpodeltesto3Carattere" w:customStyle="1">
    <w:name w:val="Rientro corpo del testo 3 Carattere"/>
    <w:basedOn w:val="DefaultParagraphFontWW"/>
    <w:qFormat/>
    <w:rPr>
      <w:rFonts w:ascii="Arial" w:hAnsi="Arial" w:eastAsia="Arial" w:cs="Arial"/>
      <w:sz w:val="16"/>
      <w:szCs w:val="16"/>
    </w:rPr>
  </w:style>
  <w:style w:type="character" w:styleId="Annotationreference">
    <w:name w:val="annotation reference"/>
    <w:basedOn w:val="DefaultParagraphFontWW"/>
    <w:qFormat/>
    <w:rPr>
      <w:sz w:val="16"/>
      <w:szCs w:val="16"/>
    </w:rPr>
  </w:style>
  <w:style w:type="character" w:styleId="SoggettocommentoCarattere" w:customStyle="1">
    <w:name w:val="Soggetto commento Carattere"/>
    <w:basedOn w:val="TestocommentoCarattere"/>
    <w:qFormat/>
    <w:rPr>
      <w:rFonts w:ascii="Arial" w:hAnsi="Arial" w:eastAsia="Arial" w:cs="Arial"/>
      <w:b/>
      <w:bCs/>
    </w:rPr>
  </w:style>
  <w:style w:type="character" w:styleId="Saltoaindice" w:customStyle="1">
    <w:name w:val="Salto a indice"/>
    <w:qFormat/>
    <w:rPr/>
  </w:style>
  <w:style w:type="character" w:styleId="Punti" w:customStyle="1">
    <w:name w:val="Punti"/>
    <w:qFormat/>
    <w:rPr>
      <w:rFonts w:ascii="OpenSymbol" w:hAnsi="OpenSymbol" w:eastAsia="OpenSymbol" w:cs="OpenSymbol"/>
    </w:rPr>
  </w:style>
  <w:style w:type="character" w:styleId="Caratteridinumerazione" w:customStyle="1">
    <w:name w:val="Caratteri di numerazione"/>
    <w:qFormat/>
    <w:rPr/>
  </w:style>
  <w:style w:type="character" w:styleId="RTFNum21" w:customStyle="1">
    <w:name w:val="RTF_Num 2 1"/>
    <w:qFormat/>
    <w:rPr/>
  </w:style>
  <w:style w:type="character" w:styleId="RTFNum22" w:customStyle="1">
    <w:name w:val="RTF_Num 2 2"/>
    <w:qFormat/>
    <w:rPr/>
  </w:style>
  <w:style w:type="character" w:styleId="RTFNum23" w:customStyle="1">
    <w:name w:val="RTF_Num 2 3"/>
    <w:qFormat/>
    <w:rPr/>
  </w:style>
  <w:style w:type="character" w:styleId="RTFNum24" w:customStyle="1">
    <w:name w:val="RTF_Num 2 4"/>
    <w:qFormat/>
    <w:rPr/>
  </w:style>
  <w:style w:type="character" w:styleId="RTFNum25" w:customStyle="1">
    <w:name w:val="RTF_Num 2 5"/>
    <w:qFormat/>
    <w:rPr/>
  </w:style>
  <w:style w:type="character" w:styleId="RTFNum26" w:customStyle="1">
    <w:name w:val="RTF_Num 2 6"/>
    <w:qFormat/>
    <w:rPr/>
  </w:style>
  <w:style w:type="character" w:styleId="RTFNum27" w:customStyle="1">
    <w:name w:val="RTF_Num 2 7"/>
    <w:qFormat/>
    <w:rPr/>
  </w:style>
  <w:style w:type="character" w:styleId="RTFNum28" w:customStyle="1">
    <w:name w:val="RTF_Num 2 8"/>
    <w:qFormat/>
    <w:rPr/>
  </w:style>
  <w:style w:type="character" w:styleId="RTFNum29" w:customStyle="1">
    <w:name w:val="RTF_Num 2 9"/>
    <w:qFormat/>
    <w:rPr/>
  </w:style>
  <w:style w:type="character" w:styleId="RTFNum31" w:customStyle="1">
    <w:name w:val="RTF_Num 3 1"/>
    <w:qFormat/>
    <w:rPr>
      <w:rFonts w:ascii="Symbol" w:hAnsi="Symbol" w:eastAsia="Symbol" w:cs="Symbol"/>
    </w:rPr>
  </w:style>
  <w:style w:type="character" w:styleId="RTFNum41" w:customStyle="1">
    <w:name w:val="RTF_Num 4 1"/>
    <w:qFormat/>
    <w:rPr>
      <w:rFonts w:eastAsia="OpenSymbol, "/>
    </w:rPr>
  </w:style>
  <w:style w:type="character" w:styleId="RTFNum42" w:customStyle="1">
    <w:name w:val="RTF_Num 4 2"/>
    <w:qFormat/>
    <w:rPr>
      <w:rFonts w:eastAsia="OpenSymbol, "/>
    </w:rPr>
  </w:style>
  <w:style w:type="character" w:styleId="RTFNum43" w:customStyle="1">
    <w:name w:val="RTF_Num 4 3"/>
    <w:qFormat/>
    <w:rPr>
      <w:rFonts w:eastAsia="OpenSymbol, "/>
    </w:rPr>
  </w:style>
  <w:style w:type="character" w:styleId="RTFNum44" w:customStyle="1">
    <w:name w:val="RTF_Num 4 4"/>
    <w:qFormat/>
    <w:rPr>
      <w:rFonts w:eastAsia="OpenSymbol, "/>
    </w:rPr>
  </w:style>
  <w:style w:type="character" w:styleId="RTFNum45" w:customStyle="1">
    <w:name w:val="RTF_Num 4 5"/>
    <w:qFormat/>
    <w:rPr>
      <w:rFonts w:eastAsia="OpenSymbol, "/>
    </w:rPr>
  </w:style>
  <w:style w:type="character" w:styleId="RTFNum46" w:customStyle="1">
    <w:name w:val="RTF_Num 4 6"/>
    <w:qFormat/>
    <w:rPr>
      <w:rFonts w:eastAsia="OpenSymbol, "/>
    </w:rPr>
  </w:style>
  <w:style w:type="character" w:styleId="RTFNum47" w:customStyle="1">
    <w:name w:val="RTF_Num 4 7"/>
    <w:qFormat/>
    <w:rPr>
      <w:rFonts w:eastAsia="OpenSymbol, "/>
    </w:rPr>
  </w:style>
  <w:style w:type="character" w:styleId="RTFNum48" w:customStyle="1">
    <w:name w:val="RTF_Num 4 8"/>
    <w:qFormat/>
    <w:rPr>
      <w:rFonts w:eastAsia="OpenSymbol, "/>
    </w:rPr>
  </w:style>
  <w:style w:type="character" w:styleId="RTFNum49" w:customStyle="1">
    <w:name w:val="RTF_Num 4 9"/>
    <w:qFormat/>
    <w:rPr>
      <w:rFonts w:eastAsia="OpenSymbol, "/>
    </w:rPr>
  </w:style>
  <w:style w:type="character" w:styleId="VisitedInternetLinkWW" w:customStyle="1">
    <w:name w:val="Visited Internet Link (WW)"/>
    <w:qFormat/>
    <w:rPr>
      <w:color w:val="800000"/>
      <w:u w:val="single"/>
    </w:rPr>
  </w:style>
  <w:style w:type="character" w:styleId="Internetlink" w:customStyle="1">
    <w:name w:val="Internet link"/>
    <w:basedOn w:val="DefaultParagraphFontWW"/>
    <w:qFormat/>
    <w:rPr>
      <w:color w:val="0563C1"/>
      <w:u w:val="single"/>
    </w:rPr>
  </w:style>
  <w:style w:type="character" w:styleId="FigureTabelleCarattere" w:customStyle="1">
    <w:name w:val="FigureTabelle Carattere"/>
    <w:basedOn w:val="DefaultParagraphFontWW"/>
    <w:qFormat/>
    <w:rPr>
      <w:i/>
      <w:sz w:val="20"/>
    </w:rPr>
  </w:style>
  <w:style w:type="character" w:styleId="NormaleCorpoCarattere" w:customStyle="1">
    <w:name w:val="NormaleCorpo Carattere"/>
    <w:basedOn w:val="DefaultParagraphFontWW"/>
    <w:qFormat/>
    <w:rPr>
      <w:lang w:eastAsia="hi-IN"/>
    </w:rPr>
  </w:style>
  <w:style w:type="character" w:styleId="CitazioneCarattere" w:customStyle="1">
    <w:name w:val="Citazione Carattere"/>
    <w:basedOn w:val="DefaultParagraphFontWW"/>
    <w:qFormat/>
    <w:rPr>
      <w:i/>
      <w:iCs/>
      <w:color w:val="404040"/>
      <w:szCs w:val="21"/>
    </w:rPr>
  </w:style>
  <w:style w:type="character" w:styleId="Titolo1Carattere" w:customStyle="1">
    <w:name w:val="Titolo 1 Carattere"/>
    <w:basedOn w:val="DefaultParagraphFontWW"/>
    <w:qFormat/>
    <w:rPr>
      <w:rFonts w:ascii="Calibri" w:hAnsi="Calibri" w:eastAsia="Calibri" w:cs="Calibri"/>
      <w:b/>
      <w:color w:val="000000"/>
      <w:sz w:val="32"/>
      <w:szCs w:val="32"/>
      <w:lang w:bidi="ar-SA"/>
    </w:rPr>
  </w:style>
  <w:style w:type="character" w:styleId="Titolo2Carattere" w:customStyle="1">
    <w:name w:val="Titolo 2 Carattere"/>
    <w:basedOn w:val="DefaultParagraphFontWW"/>
    <w:qFormat/>
    <w:rPr>
      <w:rFonts w:ascii="Calibri" w:hAnsi="Calibri" w:eastAsia="Calibri" w:cs="Calibri"/>
      <w:b/>
      <w:color w:val="000000"/>
      <w:sz w:val="28"/>
      <w:szCs w:val="28"/>
      <w:lang w:bidi="ar-SA"/>
    </w:rPr>
  </w:style>
  <w:style w:type="character" w:styleId="Titolo3Carattere" w:customStyle="1">
    <w:name w:val="Titolo 3 Carattere"/>
    <w:basedOn w:val="DefaultParagraphFontWW"/>
    <w:qFormat/>
    <w:rPr>
      <w:rFonts w:ascii="Calibri" w:hAnsi="Calibri" w:eastAsia="Calibri" w:cs="Calibri"/>
      <w:bCs/>
      <w:color w:val="000000"/>
      <w:sz w:val="28"/>
      <w:szCs w:val="28"/>
      <w:lang w:bidi="ar-SA"/>
    </w:rPr>
  </w:style>
  <w:style w:type="character" w:styleId="Titolo4Carattere" w:customStyle="1">
    <w:name w:val="Titolo 4 Carattere"/>
    <w:basedOn w:val="DefaultParagraphFontWW"/>
    <w:qFormat/>
    <w:rPr>
      <w:rFonts w:ascii="Calibri" w:hAnsi="Calibri" w:eastAsia="Calibri" w:cs="Calibri"/>
      <w:b/>
      <w:color w:val="000000"/>
      <w:u w:val="single"/>
      <w:lang w:bidi="ar-SA"/>
    </w:rPr>
  </w:style>
  <w:style w:type="character" w:styleId="Titolo5Carattere" w:customStyle="1">
    <w:name w:val="Titolo 5 Carattere"/>
    <w:basedOn w:val="DefaultParagraphFontWW"/>
    <w:qFormat/>
    <w:rPr>
      <w:rFonts w:ascii="Arial" w:hAnsi="Arial" w:eastAsia="Arial" w:cs="Arial"/>
      <w:b/>
      <w:i/>
      <w:color w:val="FF0000"/>
      <w:sz w:val="40"/>
      <w:szCs w:val="20"/>
      <w:lang w:val="en-GB" w:bidi="ar-SA"/>
    </w:rPr>
  </w:style>
  <w:style w:type="character" w:styleId="Titolo6Carattere" w:customStyle="1">
    <w:name w:val="Titolo 6 Carattere"/>
    <w:basedOn w:val="DefaultParagraphFontWW"/>
    <w:qFormat/>
    <w:rPr>
      <w:rFonts w:ascii="Arial" w:hAnsi="Arial" w:eastAsia="Arial" w:cs="Arial"/>
      <w:i/>
      <w:sz w:val="22"/>
      <w:szCs w:val="20"/>
      <w:lang w:bidi="ar-SA"/>
    </w:rPr>
  </w:style>
  <w:style w:type="character" w:styleId="Titolo7Carattere" w:customStyle="1">
    <w:name w:val="Titolo 7 Carattere"/>
    <w:basedOn w:val="DefaultParagraphFontWW"/>
    <w:qFormat/>
    <w:rPr>
      <w:rFonts w:ascii="Arial" w:hAnsi="Arial" w:eastAsia="Arial" w:cs="Arial"/>
      <w:b/>
      <w:bCs/>
      <w:iCs/>
      <w:szCs w:val="20"/>
      <w:lang w:bidi="ar-SA"/>
    </w:rPr>
  </w:style>
  <w:style w:type="character" w:styleId="Titolo8Carattere" w:customStyle="1">
    <w:name w:val="Titolo 8 Carattere"/>
    <w:basedOn w:val="DefaultParagraphFontWW"/>
    <w:qFormat/>
    <w:rPr>
      <w:rFonts w:ascii="Arial" w:hAnsi="Arial" w:eastAsia="Arial" w:cs="Arial"/>
      <w:i/>
      <w:iCs/>
      <w:szCs w:val="20"/>
      <w:lang w:bidi="ar-SA"/>
    </w:rPr>
  </w:style>
  <w:style w:type="character" w:styleId="Titolo9Carattere" w:customStyle="1">
    <w:name w:val="Titolo 9 Carattere"/>
    <w:basedOn w:val="DefaultParagraphFontWW"/>
    <w:qFormat/>
    <w:rPr>
      <w:rFonts w:ascii="Arial" w:hAnsi="Arial" w:eastAsia="Arial" w:cs="Arial"/>
      <w:szCs w:val="20"/>
      <w:lang w:bidi="ar-SA"/>
    </w:rPr>
  </w:style>
  <w:style w:type="character" w:styleId="WW8Num2z0" w:customStyle="1">
    <w:name w:val="WW8Num2z0"/>
    <w:qFormat/>
    <w:rPr>
      <w:rFonts w:cs="Arial"/>
      <w:color w:val="auto"/>
    </w:rPr>
  </w:style>
  <w:style w:type="character" w:styleId="WW8Num2z2" w:customStyle="1">
    <w:name w:val="WW8Num2z2"/>
    <w:qFormat/>
    <w:rPr>
      <w:rFonts w:ascii="Wingdings" w:hAnsi="Wingdings" w:eastAsia="Wingdings" w:cs="Wingdings"/>
    </w:rPr>
  </w:style>
  <w:style w:type="character" w:styleId="WW8Num2z3" w:customStyle="1">
    <w:name w:val="WW8Num2z3"/>
    <w:qFormat/>
    <w:rPr>
      <w:rFonts w:ascii="Symbol" w:hAnsi="Symbol" w:eastAsia="Symbol" w:cs="Symbol"/>
    </w:rPr>
  </w:style>
  <w:style w:type="character" w:styleId="WW8Num2z4" w:customStyle="1">
    <w:name w:val="WW8Num2z4"/>
    <w:qFormat/>
    <w:rPr>
      <w:rFonts w:ascii="Courier New" w:hAnsi="Courier New" w:eastAsia="Courier New" w:cs="Courier New"/>
    </w:rPr>
  </w:style>
  <w:style w:type="character" w:styleId="WW8Num5z1" w:customStyle="1">
    <w:name w:val="WW8Num5z1"/>
    <w:qFormat/>
    <w:rPr>
      <w:rFonts w:ascii="Courier New" w:hAnsi="Courier New" w:eastAsia="Courier New" w:cs="Courier New"/>
    </w:rPr>
  </w:style>
  <w:style w:type="character" w:styleId="WW8Num5z2" w:customStyle="1">
    <w:name w:val="WW8Num5z2"/>
    <w:qFormat/>
    <w:rPr>
      <w:rFonts w:ascii="Wingdings" w:hAnsi="Wingdings" w:eastAsia="Wingdings" w:cs="Wingdings"/>
    </w:rPr>
  </w:style>
  <w:style w:type="character" w:styleId="WW8Num6z0" w:customStyle="1">
    <w:name w:val="WW8Num6z0"/>
    <w:qFormat/>
    <w:rPr>
      <w:rFonts w:ascii="Symbol" w:hAnsi="Symbol" w:eastAsia="Symbol" w:cs="Symbol"/>
    </w:rPr>
  </w:style>
  <w:style w:type="character" w:styleId="WW8Num6z1" w:customStyle="1">
    <w:name w:val="WW8Num6z1"/>
    <w:qFormat/>
    <w:rPr>
      <w:rFonts w:ascii="Courier New" w:hAnsi="Courier New" w:eastAsia="Courier New" w:cs="Courier New"/>
    </w:rPr>
  </w:style>
  <w:style w:type="character" w:styleId="WW8Num6z2" w:customStyle="1">
    <w:name w:val="WW8Num6z2"/>
    <w:qFormat/>
    <w:rPr>
      <w:rFonts w:ascii="Wingdings" w:hAnsi="Wingdings" w:eastAsia="Wingdings" w:cs="Wingdings"/>
    </w:rPr>
  </w:style>
  <w:style w:type="character" w:styleId="WW8Num7z0" w:customStyle="1">
    <w:name w:val="WW8Num7z0"/>
    <w:qFormat/>
    <w:rPr>
      <w:rFonts w:ascii="Arial" w:hAnsi="Arial" w:eastAsia="Times New Roman" w:cs="Symbol"/>
    </w:rPr>
  </w:style>
  <w:style w:type="character" w:styleId="WW8Num7z1" w:customStyle="1">
    <w:name w:val="WW8Num7z1"/>
    <w:qFormat/>
    <w:rPr>
      <w:rFonts w:ascii="Courier New" w:hAnsi="Courier New" w:eastAsia="Courier New" w:cs="Arial"/>
    </w:rPr>
  </w:style>
  <w:style w:type="character" w:styleId="WW8Num7z2" w:customStyle="1">
    <w:name w:val="WW8Num7z2"/>
    <w:qFormat/>
    <w:rPr>
      <w:rFonts w:ascii="Wingdings" w:hAnsi="Wingdings" w:eastAsia="Wingdings" w:cs="Wingdings"/>
    </w:rPr>
  </w:style>
  <w:style w:type="character" w:styleId="WW8Num7z3" w:customStyle="1">
    <w:name w:val="WW8Num7z3"/>
    <w:qFormat/>
    <w:rPr>
      <w:rFonts w:ascii="Symbol" w:hAnsi="Symbol" w:eastAsia="Symbol" w:cs="Symbol"/>
    </w:rPr>
  </w:style>
  <w:style w:type="character" w:styleId="WW8Num8z0" w:customStyle="1">
    <w:name w:val="WW8Num8z0"/>
    <w:qFormat/>
    <w:rPr>
      <w:rFonts w:ascii="Arial" w:hAnsi="Arial" w:eastAsia="Times New Roman" w:cs="Arial"/>
    </w:rPr>
  </w:style>
  <w:style w:type="character" w:styleId="WW8Num8z1" w:customStyle="1">
    <w:name w:val="WW8Num8z1"/>
    <w:qFormat/>
    <w:rPr>
      <w:rFonts w:ascii="Courier New" w:hAnsi="Courier New" w:eastAsia="Courier New" w:cs="Courier New"/>
    </w:rPr>
  </w:style>
  <w:style w:type="character" w:styleId="WW8Num8z2" w:customStyle="1">
    <w:name w:val="WW8Num8z2"/>
    <w:qFormat/>
    <w:rPr>
      <w:rFonts w:ascii="Wingdings" w:hAnsi="Wingdings" w:eastAsia="Wingdings" w:cs="Wingdings"/>
    </w:rPr>
  </w:style>
  <w:style w:type="character" w:styleId="WW8Num8z3" w:customStyle="1">
    <w:name w:val="WW8Num8z3"/>
    <w:qFormat/>
    <w:rPr>
      <w:rFonts w:ascii="Symbol" w:hAnsi="Symbol" w:eastAsia="Symbol" w:cs="Symbol"/>
    </w:rPr>
  </w:style>
  <w:style w:type="character" w:styleId="WW8Num9z0" w:customStyle="1">
    <w:name w:val="WW8Num9z0"/>
    <w:qFormat/>
    <w:rPr>
      <w:rFonts w:ascii="Symbol" w:hAnsi="Symbol" w:eastAsia="Symbol" w:cs="Symbol"/>
    </w:rPr>
  </w:style>
  <w:style w:type="character" w:styleId="WW8Num9z1" w:customStyle="1">
    <w:name w:val="WW8Num9z1"/>
    <w:qFormat/>
    <w:rPr>
      <w:rFonts w:ascii="Courier New" w:hAnsi="Courier New" w:eastAsia="Courier New" w:cs="Courier New"/>
    </w:rPr>
  </w:style>
  <w:style w:type="character" w:styleId="WW8Num9z2" w:customStyle="1">
    <w:name w:val="WW8Num9z2"/>
    <w:qFormat/>
    <w:rPr>
      <w:rFonts w:ascii="Wingdings" w:hAnsi="Wingdings" w:eastAsia="Wingdings" w:cs="Wingdings"/>
    </w:rPr>
  </w:style>
  <w:style w:type="character" w:styleId="WW8Num11z0" w:customStyle="1">
    <w:name w:val="WW8Num11z0"/>
    <w:qFormat/>
    <w:rPr>
      <w:rFonts w:ascii="Symbol" w:hAnsi="Symbol" w:eastAsia="Symbol" w:cs="Symbol"/>
    </w:rPr>
  </w:style>
  <w:style w:type="character" w:styleId="WW8Num11z1" w:customStyle="1">
    <w:name w:val="WW8Num11z1"/>
    <w:qFormat/>
    <w:rPr>
      <w:rFonts w:ascii="Courier New" w:hAnsi="Courier New" w:eastAsia="Courier New" w:cs="Courier New"/>
    </w:rPr>
  </w:style>
  <w:style w:type="character" w:styleId="WW8Num11z2" w:customStyle="1">
    <w:name w:val="WW8Num11z2"/>
    <w:qFormat/>
    <w:rPr>
      <w:rFonts w:ascii="Wingdings" w:hAnsi="Wingdings" w:eastAsia="Wingdings" w:cs="Wingdings"/>
    </w:rPr>
  </w:style>
  <w:style w:type="character" w:styleId="WW8Num13z0" w:customStyle="1">
    <w:name w:val="WW8Num13z0"/>
    <w:qFormat/>
    <w:rPr>
      <w:rFonts w:ascii="Symbol" w:hAnsi="Symbol" w:eastAsia="Symbol" w:cs="Symbol"/>
    </w:rPr>
  </w:style>
  <w:style w:type="character" w:styleId="WW8Num13z1" w:customStyle="1">
    <w:name w:val="WW8Num13z1"/>
    <w:qFormat/>
    <w:rPr>
      <w:rFonts w:ascii="Courier New" w:hAnsi="Courier New" w:eastAsia="Courier New" w:cs="Courier New"/>
    </w:rPr>
  </w:style>
  <w:style w:type="character" w:styleId="WW8Num13z2" w:customStyle="1">
    <w:name w:val="WW8Num13z2"/>
    <w:qFormat/>
    <w:rPr>
      <w:rFonts w:ascii="Wingdings" w:hAnsi="Wingdings" w:eastAsia="Wingdings" w:cs="Wingdings"/>
    </w:rPr>
  </w:style>
  <w:style w:type="character" w:styleId="WW8Num18z3" w:customStyle="1">
    <w:name w:val="WW8Num18z3"/>
    <w:qFormat/>
    <w:rPr>
      <w:rFonts w:ascii="Symbol" w:hAnsi="Symbol" w:eastAsia="Symbol" w:cs="Symbol"/>
    </w:rPr>
  </w:style>
  <w:style w:type="character" w:styleId="WW8Num19z0" w:customStyle="1">
    <w:name w:val="WW8Num19z0"/>
    <w:qFormat/>
    <w:rPr>
      <w:rFonts w:ascii="Symbol" w:hAnsi="Symbol" w:eastAsia="Symbol" w:cs="Symbol"/>
    </w:rPr>
  </w:style>
  <w:style w:type="character" w:styleId="WW8Num19z1" w:customStyle="1">
    <w:name w:val="WW8Num19z1"/>
    <w:qFormat/>
    <w:rPr>
      <w:rFonts w:ascii="Courier New" w:hAnsi="Courier New" w:eastAsia="Courier New" w:cs="Courier New"/>
    </w:rPr>
  </w:style>
  <w:style w:type="character" w:styleId="WW8Num19z2" w:customStyle="1">
    <w:name w:val="WW8Num19z2"/>
    <w:qFormat/>
    <w:rPr>
      <w:rFonts w:ascii="Wingdings" w:hAnsi="Wingdings" w:eastAsia="Wingdings" w:cs="Wingdings"/>
    </w:rPr>
  </w:style>
  <w:style w:type="character" w:styleId="WW8Num21z3" w:customStyle="1">
    <w:name w:val="WW8Num21z3"/>
    <w:qFormat/>
    <w:rPr>
      <w:rFonts w:ascii="Symbol" w:hAnsi="Symbol" w:eastAsia="Symbol" w:cs="Symbol"/>
    </w:rPr>
  </w:style>
  <w:style w:type="character" w:styleId="WW8Num24z1" w:customStyle="1">
    <w:name w:val="WW8Num24z1"/>
    <w:qFormat/>
    <w:rPr>
      <w:rFonts w:ascii="Courier New" w:hAnsi="Courier New" w:eastAsia="Courier New" w:cs="Courier New"/>
    </w:rPr>
  </w:style>
  <w:style w:type="character" w:styleId="WW8Num24z2" w:customStyle="1">
    <w:name w:val="WW8Num24z2"/>
    <w:qFormat/>
    <w:rPr>
      <w:rFonts w:ascii="Wingdings" w:hAnsi="Wingdings" w:eastAsia="Wingdings" w:cs="Wingdings"/>
    </w:rPr>
  </w:style>
  <w:style w:type="character" w:styleId="WW8Num24z3" w:customStyle="1">
    <w:name w:val="WW8Num24z3"/>
    <w:qFormat/>
    <w:rPr>
      <w:rFonts w:ascii="Symbol" w:hAnsi="Symbol" w:eastAsia="Symbol" w:cs="Symbol"/>
    </w:rPr>
  </w:style>
  <w:style w:type="character" w:styleId="WW8Num25z1" w:customStyle="1">
    <w:name w:val="WW8Num25z1"/>
    <w:qFormat/>
    <w:rPr>
      <w:rFonts w:ascii="Courier New" w:hAnsi="Courier New" w:eastAsia="Courier New" w:cs="Courier New"/>
    </w:rPr>
  </w:style>
  <w:style w:type="character" w:styleId="WW8Num25z2" w:customStyle="1">
    <w:name w:val="WW8Num25z2"/>
    <w:qFormat/>
    <w:rPr>
      <w:rFonts w:ascii="Wingdings" w:hAnsi="Wingdings" w:eastAsia="Wingdings" w:cs="Wingdings"/>
    </w:rPr>
  </w:style>
  <w:style w:type="character" w:styleId="WW8Num26z0" w:customStyle="1">
    <w:name w:val="WW8Num26z0"/>
    <w:qFormat/>
    <w:rPr>
      <w:rFonts w:ascii="Symbol" w:hAnsi="Symbol" w:eastAsia="Symbol" w:cs="Symbol"/>
    </w:rPr>
  </w:style>
  <w:style w:type="character" w:styleId="WW8Num26z2" w:customStyle="1">
    <w:name w:val="WW8Num26z2"/>
    <w:qFormat/>
    <w:rPr>
      <w:rFonts w:ascii="Wingdings" w:hAnsi="Wingdings" w:eastAsia="Wingdings" w:cs="Wingdings"/>
    </w:rPr>
  </w:style>
  <w:style w:type="character" w:styleId="Carpredefinitoparagrafo1" w:customStyle="1">
    <w:name w:val="Car. predefinito paragrafo1"/>
    <w:qFormat/>
    <w:rPr/>
  </w:style>
  <w:style w:type="character" w:styleId="Title12sred" w:customStyle="1">
    <w:name w:val="title12s red"/>
    <w:basedOn w:val="Carpredefinitoparagrafo1"/>
    <w:qFormat/>
    <w:rPr/>
  </w:style>
  <w:style w:type="character" w:styleId="Caratteredellanota" w:customStyle="1">
    <w:name w:val="Carattere della nota"/>
    <w:qFormat/>
    <w:rPr>
      <w:rFonts w:ascii="Arial" w:hAnsi="Arial" w:eastAsia="Arial" w:cs="Arial"/>
      <w:sz w:val="16"/>
      <w:vertAlign w:val="superscript"/>
    </w:rPr>
  </w:style>
  <w:style w:type="character" w:styleId="Rimandocommento1" w:customStyle="1">
    <w:name w:val="Rimando commento1"/>
    <w:qFormat/>
    <w:rPr>
      <w:sz w:val="16"/>
      <w:szCs w:val="16"/>
    </w:rPr>
  </w:style>
  <w:style w:type="character" w:styleId="HTMLAcronym">
    <w:name w:val="HTML Acronym"/>
    <w:qFormat/>
    <w:rPr>
      <w:i/>
      <w:iCs/>
    </w:rPr>
  </w:style>
  <w:style w:type="character" w:styleId="Titoloparagrafo1" w:customStyle="1">
    <w:name w:val="titoloparagrafo1"/>
    <w:qFormat/>
    <w:rPr>
      <w:color w:val="006110"/>
      <w:sz w:val="26"/>
      <w:szCs w:val="26"/>
    </w:rPr>
  </w:style>
  <w:style w:type="character" w:styleId="Emphasis">
    <w:name w:val="Emphasis"/>
    <w:qFormat/>
    <w:rPr>
      <w:i/>
      <w:iCs/>
    </w:rPr>
  </w:style>
  <w:style w:type="character" w:styleId="Title61" w:customStyle="1">
    <w:name w:val="title61"/>
    <w:qFormat/>
    <w:rPr>
      <w:sz w:val="30"/>
      <w:szCs w:val="30"/>
    </w:rPr>
  </w:style>
  <w:style w:type="character" w:styleId="Verdino" w:customStyle="1">
    <w:name w:val="verdino"/>
    <w:basedOn w:val="Carpredefinitoparagrafo1"/>
    <w:qFormat/>
    <w:rPr/>
  </w:style>
  <w:style w:type="character" w:styleId="Title161" w:customStyle="1">
    <w:name w:val="title161"/>
    <w:qFormat/>
    <w:rPr>
      <w:sz w:val="30"/>
      <w:szCs w:val="30"/>
    </w:rPr>
  </w:style>
  <w:style w:type="character" w:styleId="CorpodeltestoCarattere" w:customStyle="1">
    <w:name w:val="Corpo del testo Carattere"/>
    <w:qFormat/>
    <w:rPr>
      <w:rFonts w:ascii="Arial" w:hAnsi="Arial" w:eastAsia="Arial" w:cs="Arial"/>
      <w:szCs w:val="24"/>
    </w:rPr>
  </w:style>
  <w:style w:type="character" w:styleId="SottotitoloCarattere" w:customStyle="1">
    <w:name w:val="Sottotitolo Carattere"/>
    <w:qFormat/>
    <w:rPr>
      <w:rFonts w:ascii="Arial" w:hAnsi="Arial" w:eastAsia="Arial" w:cs="Arial"/>
      <w:i/>
      <w:sz w:val="16"/>
      <w:szCs w:val="16"/>
      <w:lang w:val="it-IT"/>
    </w:rPr>
  </w:style>
  <w:style w:type="character" w:styleId="Apple-style-span" w:customStyle="1">
    <w:name w:val="apple-style-span"/>
    <w:basedOn w:val="Carpredefinitoparagrafo1"/>
    <w:qFormat/>
    <w:rPr/>
  </w:style>
  <w:style w:type="character" w:styleId="Apple-converted-space" w:customStyle="1">
    <w:name w:val="apple-converted-space"/>
    <w:basedOn w:val="Carpredefinitoparagrafo1"/>
    <w:qFormat/>
    <w:rPr/>
  </w:style>
  <w:style w:type="character" w:styleId="StrongEmphasis" w:customStyle="1">
    <w:name w:val="Strong Emphasis"/>
    <w:qFormat/>
    <w:rPr>
      <w:b/>
      <w:bCs/>
    </w:rPr>
  </w:style>
  <w:style w:type="character" w:styleId="PidipaginaCarattere1" w:customStyle="1">
    <w:name w:val="Piè di pagina Carattere1"/>
    <w:basedOn w:val="DefaultParagraphFontWW"/>
    <w:qFormat/>
    <w:rPr>
      <w:rFonts w:ascii="Arial" w:hAnsi="Arial" w:eastAsia="Times New Roman" w:cs="Arial"/>
      <w:sz w:val="20"/>
      <w:szCs w:val="20"/>
      <w:lang w:bidi="ar-SA"/>
    </w:rPr>
  </w:style>
  <w:style w:type="character" w:styleId="TestonotaapidipaginaCarattere" w:customStyle="1">
    <w:name w:val="Testo nota a piè di pagina Carattere"/>
    <w:basedOn w:val="DefaultParagraphFontWW"/>
    <w:qFormat/>
    <w:rPr>
      <w:rFonts w:ascii="Arial" w:hAnsi="Arial" w:eastAsia="Times New Roman" w:cs="Arial"/>
      <w:kern w:val="0"/>
      <w:sz w:val="14"/>
      <w:szCs w:val="20"/>
      <w:lang w:eastAsia="ar-SA" w:bidi="ar-SA"/>
    </w:rPr>
  </w:style>
  <w:style w:type="character" w:styleId="TitoloCarattere" w:customStyle="1">
    <w:name w:val="Titolo Carattere"/>
    <w:basedOn w:val="DefaultParagraphFontWW"/>
    <w:qFormat/>
    <w:rPr>
      <w:rFonts w:ascii="Calibri" w:hAnsi="Calibri" w:eastAsia="Calibri" w:cs="Calibri"/>
      <w:b/>
      <w:bCs/>
      <w:sz w:val="56"/>
      <w:szCs w:val="56"/>
      <w:lang w:bidi="ar-SA"/>
    </w:rPr>
  </w:style>
  <w:style w:type="character" w:styleId="SottotitoloCarattere1" w:customStyle="1">
    <w:name w:val="Sottotitolo Carattere1"/>
    <w:basedOn w:val="DefaultParagraphFontWW"/>
    <w:qFormat/>
    <w:rPr>
      <w:rFonts w:ascii="Calibri" w:hAnsi="Calibri" w:eastAsia="Calibri" w:cs="Calibri"/>
      <w:b/>
      <w:bCs/>
      <w:sz w:val="36"/>
      <w:szCs w:val="36"/>
      <w:lang w:bidi="ar-SA"/>
    </w:rPr>
  </w:style>
  <w:style w:type="character" w:styleId="Caratteredinumerazione" w:customStyle="1">
    <w:name w:val="Carattere di numerazione"/>
    <w:qFormat/>
    <w:rPr/>
  </w:style>
  <w:style w:type="character" w:styleId="FootnoteSymbol" w:customStyle="1">
    <w:name w:val="Footnote Symbol"/>
    <w:qFormat/>
    <w:rPr>
      <w:vertAlign w:val="superscript"/>
    </w:rPr>
  </w:style>
  <w:style w:type="character" w:styleId="Caratterinotaapidipagina" w:customStyle="1">
    <w:name w:val="Caratteri nota a piè di pagina"/>
    <w:qFormat/>
    <w:rPr>
      <w:vertAlign w:val="superscript"/>
    </w:rPr>
  </w:style>
  <w:style w:type="character" w:styleId="FootnoteReference">
    <w:name w:val="Footnote Reference"/>
    <w:rPr>
      <w:vertAlign w:val="superscript"/>
    </w:rPr>
  </w:style>
  <w:style w:type="character" w:styleId="CorpotestoCarattere" w:customStyle="1">
    <w:name w:val="Corpo testo Carattere"/>
    <w:basedOn w:val="DefaultParagraphFontWW"/>
    <w:qFormat/>
    <w:rPr>
      <w:rFonts w:ascii="Arial" w:hAnsi="Arial" w:eastAsia="Times New Roman" w:cs="Arial"/>
      <w:kern w:val="0"/>
      <w:sz w:val="20"/>
      <w:lang w:eastAsia="ar-SA" w:bidi="ar-SA"/>
    </w:rPr>
  </w:style>
  <w:style w:type="character" w:styleId="VisitedInternetLink" w:customStyle="1">
    <w:name w:val="Visited Internet Link"/>
    <w:basedOn w:val="DefaultParagraphFontWW"/>
    <w:qFormat/>
    <w:rPr>
      <w:color w:val="954F72"/>
      <w:u w:val="single"/>
    </w:rPr>
  </w:style>
  <w:style w:type="character" w:styleId="Linenumbering" w:customStyle="1">
    <w:name w:val="Line numbering"/>
    <w:qFormat/>
    <w:rPr/>
  </w:style>
  <w:style w:type="character" w:styleId="Hyperlink">
    <w:name w:val="Hyperlink"/>
    <w:rPr>
      <w:color w:val="000080"/>
      <w:u w:val="single"/>
    </w:rPr>
  </w:style>
  <w:style w:type="paragraph" w:styleId="Titolo" w:customStyle="1">
    <w:name w:val="Titolo"/>
    <w:basedOn w:val="StandardWW"/>
    <w:next w:val="Textbody"/>
    <w:qFormat/>
    <w:pPr/>
    <w:rPr>
      <w:rFonts w:ascii="Calibri" w:hAnsi="Calibri" w:eastAsia="Calibri" w:cs="Calibri"/>
      <w:b/>
      <w:bCs/>
      <w:sz w:val="28"/>
      <w:szCs w:val="28"/>
    </w:rPr>
  </w:style>
  <w:style w:type="paragraph" w:styleId="BodyText">
    <w:name w:val="Body Text"/>
    <w:basedOn w:val="Normal"/>
    <w:pPr>
      <w:spacing w:lineRule="auto" w:line="276" w:before="0" w:after="140"/>
    </w:pPr>
    <w:rPr/>
  </w:style>
  <w:style w:type="paragraph" w:styleId="List">
    <w:name w:val="List"/>
    <w:basedOn w:val="TextbodyWW"/>
    <w:pPr/>
    <w:rPr>
      <w:rFonts w:cs="Mangal"/>
    </w:rPr>
  </w:style>
  <w:style w:type="paragraph" w:styleId="Caption">
    <w:name w:val="Caption"/>
    <w:basedOn w:val="Normal"/>
    <w:qFormat/>
    <w:pPr>
      <w:suppressLineNumbers/>
      <w:spacing w:before="120" w:after="120"/>
    </w:pPr>
    <w:rPr>
      <w:rFonts w:ascii="Calibri" w:hAnsi="Calibri" w:cs="Arial"/>
      <w:i/>
      <w:iCs/>
      <w:sz w:val="24"/>
      <w:szCs w:val="24"/>
    </w:rPr>
  </w:style>
  <w:style w:type="paragraph" w:styleId="Indice" w:customStyle="1">
    <w:name w:val="Indice"/>
    <w:basedOn w:val="Standard"/>
    <w:qFormat/>
    <w:pPr>
      <w:widowControl/>
      <w:spacing w:lineRule="atLeast" w:line="300" w:before="120" w:after="120"/>
      <w:jc w:val="center"/>
      <w:textAlignment w:val="auto"/>
    </w:pPr>
    <w:rPr>
      <w:rFonts w:ascii="Futura Std Book" w:hAnsi="Futura Std Book" w:eastAsia="Times New Roman" w:cs="Futura Std Book"/>
      <w:kern w:val="0"/>
      <w:sz w:val="26"/>
      <w:lang w:eastAsia="ar-SA" w:bidi="ar-SA"/>
    </w:rPr>
  </w:style>
  <w:style w:type="paragraph" w:styleId="Standard" w:customStyle="1">
    <w:name w:val="Standard"/>
    <w:qFormat/>
    <w:pPr>
      <w:widowControl w:val="false"/>
      <w:suppressAutoHyphens w:val="true"/>
      <w:bidi w:val="0"/>
      <w:spacing w:before="0" w:after="0"/>
      <w:jc w:val="left"/>
      <w:textAlignment w:val="baseline"/>
    </w:pPr>
    <w:rPr>
      <w:rFonts w:ascii="Times New Roman" w:hAnsi="Times New Roman" w:eastAsia="SimSun" w:cs="Mangal"/>
      <w:color w:val="auto"/>
      <w:kern w:val="2"/>
      <w:sz w:val="24"/>
      <w:szCs w:val="24"/>
      <w:lang w:val="it-IT" w:eastAsia="zh-CN" w:bidi="hi-IN"/>
    </w:rPr>
  </w:style>
  <w:style w:type="paragraph" w:styleId="Textbody" w:customStyle="1">
    <w:name w:val="Text body"/>
    <w:basedOn w:val="Standard"/>
    <w:qFormat/>
    <w:pPr>
      <w:widowControl/>
      <w:spacing w:lineRule="atLeast" w:line="300" w:before="120" w:after="120"/>
      <w:jc w:val="both"/>
      <w:textAlignment w:val="auto"/>
    </w:pPr>
    <w:rPr>
      <w:rFonts w:ascii="Arial" w:hAnsi="Arial" w:eastAsia="Times New Roman" w:cs="Arial"/>
      <w:kern w:val="0"/>
      <w:sz w:val="20"/>
      <w:lang w:eastAsia="ar-SA" w:bidi="ar-SA"/>
    </w:rPr>
  </w:style>
  <w:style w:type="paragraph" w:styleId="Caption1">
    <w:name w:val="caption1"/>
    <w:basedOn w:val="Standard"/>
    <w:qFormat/>
    <w:pPr>
      <w:suppressLineNumbers/>
      <w:spacing w:before="120" w:after="120"/>
    </w:pPr>
    <w:rPr>
      <w:rFonts w:ascii="Calibri" w:hAnsi="Calibri" w:eastAsia="Calibri" w:cs="Arial"/>
      <w:i/>
      <w:iCs/>
    </w:rPr>
  </w:style>
  <w:style w:type="paragraph" w:styleId="StandardWW" w:customStyle="1">
    <w:name w:val="Standard (WW)"/>
    <w:qFormat/>
    <w:pPr>
      <w:widowControl/>
      <w:suppressAutoHyphens w:val="true"/>
      <w:bidi w:val="0"/>
      <w:spacing w:lineRule="atLeast" w:line="283" w:before="0" w:after="0"/>
      <w:jc w:val="both"/>
      <w:textAlignment w:val="baseline"/>
    </w:pPr>
    <w:rPr>
      <w:rFonts w:ascii="Arial" w:hAnsi="Arial" w:eastAsia="Times New Roman" w:cs="Arial"/>
      <w:color w:val="auto"/>
      <w:kern w:val="2"/>
      <w:sz w:val="20"/>
      <w:szCs w:val="20"/>
      <w:lang w:val="it-IT" w:eastAsia="zh-CN" w:bidi="ar-SA"/>
    </w:rPr>
  </w:style>
  <w:style w:type="paragraph" w:styleId="TextbodyWW" w:customStyle="1">
    <w:name w:val="Text body (WW)"/>
    <w:basedOn w:val="StandardWW"/>
    <w:qFormat/>
    <w:pPr/>
    <w:rPr>
      <w:rFonts w:ascii="Tahoma" w:hAnsi="Tahoma" w:eastAsia="Tahoma" w:cs="Tahoma"/>
      <w:sz w:val="24"/>
    </w:rPr>
  </w:style>
  <w:style w:type="paragraph" w:styleId="Caption11" w:customStyle="1">
    <w:name w:val="caption11"/>
    <w:basedOn w:val="StandardWW"/>
    <w:next w:val="StandardWW"/>
    <w:qFormat/>
    <w:pPr>
      <w:overflowPunct w:val="false"/>
      <w:jc w:val="center"/>
    </w:pPr>
    <w:rPr>
      <w:rFonts w:eastAsia="Arial"/>
      <w:i/>
      <w:iCs/>
    </w:rPr>
  </w:style>
  <w:style w:type="paragraph" w:styleId="Intestazioneepidipagina" w:customStyle="1">
    <w:name w:val="Intestazione e piè di pagina"/>
    <w:basedOn w:val="Standard"/>
    <w:qFormat/>
    <w:pPr/>
    <w:rPr/>
  </w:style>
  <w:style w:type="paragraph" w:styleId="Header">
    <w:name w:val="Header"/>
    <w:basedOn w:val="StandardWW"/>
    <w:pPr>
      <w:tabs>
        <w:tab w:val="clear" w:pos="708"/>
        <w:tab w:val="center" w:pos="4819" w:leader="none"/>
        <w:tab w:val="right" w:pos="9638" w:leader="none"/>
      </w:tabs>
    </w:pPr>
    <w:rPr/>
  </w:style>
  <w:style w:type="paragraph" w:styleId="Footer">
    <w:name w:val="Footer"/>
    <w:basedOn w:val="StandardWW"/>
    <w:pPr>
      <w:tabs>
        <w:tab w:val="clear" w:pos="708"/>
        <w:tab w:val="center" w:pos="4819" w:leader="none"/>
        <w:tab w:val="right" w:pos="9638" w:leader="none"/>
      </w:tabs>
    </w:pPr>
    <w:rPr/>
  </w:style>
  <w:style w:type="paragraph" w:styleId="NormalWeb">
    <w:name w:val="Normal (Web)"/>
    <w:basedOn w:val="StandardWW"/>
    <w:qFormat/>
    <w:pPr>
      <w:spacing w:before="100" w:after="100"/>
    </w:pPr>
    <w:rPr>
      <w:sz w:val="24"/>
      <w:szCs w:val="24"/>
    </w:rPr>
  </w:style>
  <w:style w:type="paragraph" w:styleId="BodyText2">
    <w:name w:val="Body Text 2"/>
    <w:basedOn w:val="StandardWW"/>
    <w:qFormat/>
    <w:pPr>
      <w:overflowPunct w:val="false"/>
    </w:pPr>
    <w:rPr>
      <w:rFonts w:eastAsia="Arial"/>
      <w:b/>
      <w:bCs/>
      <w:color w:val="FF0000"/>
      <w:sz w:val="24"/>
    </w:rPr>
  </w:style>
  <w:style w:type="paragraph" w:styleId="BodyText3">
    <w:name w:val="Body Text 3"/>
    <w:basedOn w:val="StandardWW"/>
    <w:qFormat/>
    <w:pPr/>
    <w:rPr>
      <w:rFonts w:ascii="Tahoma" w:hAnsi="Tahoma" w:eastAsia="Tahoma" w:cs="Tahoma"/>
      <w:sz w:val="28"/>
    </w:rPr>
  </w:style>
  <w:style w:type="paragraph" w:styleId="FootnoteWW" w:customStyle="1">
    <w:name w:val="Footnote (WW)"/>
    <w:basedOn w:val="StandardWW"/>
    <w:qFormat/>
    <w:pPr>
      <w:overflowPunct w:val="false"/>
    </w:pPr>
    <w:rPr>
      <w:rFonts w:ascii="Univers, Arial" w:hAnsi="Univers, Arial" w:eastAsia="Univers, Arial" w:cs="Univers, Arial"/>
    </w:rPr>
  </w:style>
  <w:style w:type="paragraph" w:styleId="Contents3WW" w:customStyle="1">
    <w:name w:val="Contents 3 (WW)"/>
    <w:basedOn w:val="StandardWW"/>
    <w:next w:val="StandardWW"/>
    <w:qFormat/>
    <w:pPr/>
    <w:rPr>
      <w:smallCaps/>
      <w:sz w:val="24"/>
    </w:rPr>
  </w:style>
  <w:style w:type="paragraph" w:styleId="TextbodyindentWW" w:customStyle="1">
    <w:name w:val="Text body indent (WW)"/>
    <w:basedOn w:val="StandardWW"/>
    <w:qFormat/>
    <w:pPr>
      <w:ind w:firstLine="360" w:left="360"/>
    </w:pPr>
    <w:rPr>
      <w:rFonts w:eastAsia="Arial"/>
      <w:sz w:val="24"/>
      <w:szCs w:val="24"/>
    </w:rPr>
  </w:style>
  <w:style w:type="paragraph" w:styleId="BodyTextIndent2">
    <w:name w:val="Body Text Indent 2"/>
    <w:basedOn w:val="StandardWW"/>
    <w:qFormat/>
    <w:pPr>
      <w:ind w:left="360"/>
    </w:pPr>
    <w:rPr>
      <w:rFonts w:eastAsia="Arial"/>
      <w:sz w:val="24"/>
      <w:szCs w:val="24"/>
    </w:rPr>
  </w:style>
  <w:style w:type="paragraph" w:styleId="PlainText">
    <w:name w:val="Plain Text"/>
    <w:basedOn w:val="StandardWW"/>
    <w:qFormat/>
    <w:pPr/>
    <w:rPr>
      <w:sz w:val="24"/>
    </w:rPr>
  </w:style>
  <w:style w:type="paragraph" w:styleId="Contents1WW" w:customStyle="1">
    <w:name w:val="Contents 1 (WW)"/>
    <w:basedOn w:val="StandardWW"/>
    <w:next w:val="StandardWW"/>
    <w:qFormat/>
    <w:pPr>
      <w:spacing w:before="360" w:after="0"/>
    </w:pPr>
    <w:rPr>
      <w:rFonts w:eastAsia="Arial"/>
      <w:b/>
      <w:bCs/>
      <w:caps/>
      <w:szCs w:val="28"/>
    </w:rPr>
  </w:style>
  <w:style w:type="paragraph" w:styleId="Contents2WW" w:customStyle="1">
    <w:name w:val="Contents 2 (WW)"/>
    <w:basedOn w:val="StandardWW"/>
    <w:next w:val="StandardWW"/>
    <w:qFormat/>
    <w:pPr>
      <w:spacing w:before="240" w:after="0"/>
    </w:pPr>
    <w:rPr>
      <w:b/>
      <w:bCs/>
      <w:szCs w:val="24"/>
    </w:rPr>
  </w:style>
  <w:style w:type="paragraph" w:styleId="BlockText">
    <w:name w:val="Block Text"/>
    <w:basedOn w:val="StandardWW"/>
    <w:qFormat/>
    <w:pPr>
      <w:widowControl w:val="false"/>
      <w:spacing w:lineRule="exact" w:line="360"/>
      <w:ind w:left="6894" w:right="-20"/>
    </w:pPr>
    <w:rPr>
      <w:rFonts w:eastAsia="Arial"/>
      <w:b/>
      <w:bCs/>
      <w:spacing w:val="-2"/>
      <w:sz w:val="36"/>
      <w:szCs w:val="36"/>
    </w:rPr>
  </w:style>
  <w:style w:type="paragraph" w:styleId="Annotationtext">
    <w:name w:val="annotation text"/>
    <w:basedOn w:val="StandardWW"/>
    <w:qFormat/>
    <w:pPr/>
    <w:rPr/>
  </w:style>
  <w:style w:type="paragraph" w:styleId="ListParagraph">
    <w:name w:val="List Paragraph"/>
    <w:basedOn w:val="StandardWW"/>
    <w:qFormat/>
    <w:pPr>
      <w:ind w:left="708"/>
    </w:pPr>
    <w:rPr/>
  </w:style>
  <w:style w:type="paragraph" w:styleId="Indexheading">
    <w:name w:val="index heading"/>
    <w:basedOn w:val="Titolo"/>
    <w:qFormat/>
    <w:pPr/>
    <w:rPr/>
  </w:style>
  <w:style w:type="paragraph" w:styleId="ContentsHeading" w:customStyle="1">
    <w:name w:val="Contents Heading"/>
    <w:basedOn w:val="Heading1"/>
    <w:next w:val="StandardWW"/>
    <w:qFormat/>
    <w:pPr>
      <w:keepLines/>
      <w:spacing w:lineRule="auto" w:line="276" w:before="480" w:after="120"/>
    </w:pPr>
    <w:rPr>
      <w:rFonts w:ascii="Cambria" w:hAnsi="Cambria" w:eastAsia="Times New Roman" w:cs="Times New Roman"/>
      <w:b w:val="false"/>
      <w:bCs/>
      <w:color w:val="365F91"/>
      <w:szCs w:val="28"/>
    </w:rPr>
  </w:style>
  <w:style w:type="paragraph" w:styleId="BalloonText">
    <w:name w:val="Balloon Text"/>
    <w:basedOn w:val="StandardWW"/>
    <w:qFormat/>
    <w:pPr/>
    <w:rPr>
      <w:rFonts w:ascii="Tahoma" w:hAnsi="Tahoma" w:eastAsia="Tahoma" w:cs="Tahoma"/>
      <w:sz w:val="16"/>
      <w:szCs w:val="16"/>
    </w:rPr>
  </w:style>
  <w:style w:type="paragraph" w:styleId="Revision">
    <w:name w:val="Revision"/>
    <w:qFormat/>
    <w:pPr>
      <w:widowControl/>
      <w:suppressAutoHyphens w:val="true"/>
      <w:bidi w:val="0"/>
      <w:spacing w:before="0" w:after="0"/>
      <w:jc w:val="left"/>
      <w:textAlignment w:val="baseline"/>
    </w:pPr>
    <w:rPr>
      <w:rFonts w:ascii="Arial" w:hAnsi="Arial" w:eastAsia="Times New Roman" w:cs="Arial"/>
      <w:color w:val="auto"/>
      <w:kern w:val="2"/>
      <w:sz w:val="20"/>
      <w:szCs w:val="20"/>
      <w:lang w:val="it-IT" w:eastAsia="zh-CN" w:bidi="ar-SA"/>
    </w:rPr>
  </w:style>
  <w:style w:type="paragraph" w:styleId="Default" w:customStyle="1">
    <w:name w:val="Default"/>
    <w:qFormat/>
    <w:pPr>
      <w:widowControl/>
      <w:suppressAutoHyphens w:val="true"/>
      <w:bidi w:val="0"/>
      <w:spacing w:before="0" w:after="0"/>
      <w:jc w:val="left"/>
      <w:textAlignment w:val="baseline"/>
    </w:pPr>
    <w:rPr>
      <w:rFonts w:ascii="Arial" w:hAnsi="Arial" w:eastAsia="Times New Roman" w:cs="Arial"/>
      <w:color w:val="000000"/>
      <w:kern w:val="2"/>
      <w:sz w:val="24"/>
      <w:szCs w:val="24"/>
      <w:lang w:val="it-IT" w:eastAsia="zh-CN" w:bidi="ar-SA"/>
    </w:rPr>
  </w:style>
  <w:style w:type="paragraph" w:styleId="BodyTextIndent3">
    <w:name w:val="Body Text Indent 3"/>
    <w:basedOn w:val="StandardWW"/>
    <w:qFormat/>
    <w:pPr>
      <w:spacing w:before="0" w:after="120"/>
      <w:ind w:left="283"/>
    </w:pPr>
    <w:rPr>
      <w:sz w:val="16"/>
      <w:szCs w:val="16"/>
    </w:rPr>
  </w:style>
  <w:style w:type="paragraph" w:styleId="Annotationsubject">
    <w:name w:val="annotation subject"/>
    <w:basedOn w:val="Annotationtext"/>
    <w:next w:val="Annotationtext"/>
    <w:qFormat/>
    <w:pPr/>
    <w:rPr>
      <w:b/>
      <w:bCs/>
    </w:rPr>
  </w:style>
  <w:style w:type="paragraph" w:styleId="Contenutotabella" w:customStyle="1">
    <w:name w:val="Contenuto tabella"/>
    <w:basedOn w:val="Standard"/>
    <w:qFormat/>
    <w:pPr>
      <w:widowControl/>
      <w:suppressLineNumbers/>
      <w:spacing w:lineRule="atLeast" w:line="300" w:before="120" w:after="120"/>
      <w:jc w:val="both"/>
      <w:textAlignment w:val="auto"/>
    </w:pPr>
    <w:rPr>
      <w:rFonts w:ascii="Arial" w:hAnsi="Arial" w:eastAsia="Times New Roman" w:cs="Arial"/>
      <w:kern w:val="0"/>
      <w:sz w:val="20"/>
      <w:lang w:eastAsia="ar-SA" w:bidi="ar-SA"/>
    </w:rPr>
  </w:style>
  <w:style w:type="paragraph" w:styleId="Titolotabella" w:customStyle="1">
    <w:name w:val="Titolo tabella"/>
    <w:basedOn w:val="Contenutotabella"/>
    <w:qFormat/>
    <w:pPr>
      <w:jc w:val="center"/>
    </w:pPr>
    <w:rPr>
      <w:b/>
      <w:bCs/>
    </w:rPr>
  </w:style>
  <w:style w:type="paragraph" w:styleId="Contents4WW" w:customStyle="1">
    <w:name w:val="Contents 4 (WW)"/>
    <w:basedOn w:val="Indice"/>
    <w:qFormat/>
    <w:pPr>
      <w:tabs>
        <w:tab w:val="clear" w:pos="708"/>
        <w:tab w:val="right" w:pos="10487" w:leader="dot"/>
      </w:tabs>
      <w:ind w:left="849"/>
    </w:pPr>
    <w:rPr/>
  </w:style>
  <w:style w:type="paragraph" w:styleId="Contents5WW" w:customStyle="1">
    <w:name w:val="Contents 5 (WW)"/>
    <w:basedOn w:val="Indice"/>
    <w:qFormat/>
    <w:pPr>
      <w:tabs>
        <w:tab w:val="clear" w:pos="708"/>
        <w:tab w:val="right" w:pos="10770" w:leader="dot"/>
      </w:tabs>
      <w:ind w:left="1132"/>
    </w:pPr>
    <w:rPr/>
  </w:style>
  <w:style w:type="paragraph" w:styleId="Contents6WW" w:customStyle="1">
    <w:name w:val="Contents 6 (WW)"/>
    <w:basedOn w:val="Indice"/>
    <w:qFormat/>
    <w:pPr>
      <w:tabs>
        <w:tab w:val="clear" w:pos="708"/>
        <w:tab w:val="right" w:pos="11053" w:leader="dot"/>
      </w:tabs>
      <w:ind w:left="1415"/>
    </w:pPr>
    <w:rPr/>
  </w:style>
  <w:style w:type="paragraph" w:styleId="Contents7WW" w:customStyle="1">
    <w:name w:val="Contents 7 (WW)"/>
    <w:basedOn w:val="Indice"/>
    <w:qFormat/>
    <w:pPr>
      <w:tabs>
        <w:tab w:val="clear" w:pos="708"/>
        <w:tab w:val="right" w:pos="11336" w:leader="dot"/>
      </w:tabs>
      <w:ind w:left="1698"/>
    </w:pPr>
    <w:rPr/>
  </w:style>
  <w:style w:type="paragraph" w:styleId="Contents8WW" w:customStyle="1">
    <w:name w:val="Contents 8 (WW)"/>
    <w:basedOn w:val="Indice"/>
    <w:qFormat/>
    <w:pPr>
      <w:tabs>
        <w:tab w:val="clear" w:pos="708"/>
        <w:tab w:val="right" w:pos="11619" w:leader="dot"/>
      </w:tabs>
      <w:ind w:left="1981"/>
    </w:pPr>
    <w:rPr/>
  </w:style>
  <w:style w:type="paragraph" w:styleId="Contents9WW" w:customStyle="1">
    <w:name w:val="Contents 9 (WW)"/>
    <w:basedOn w:val="Indice"/>
    <w:qFormat/>
    <w:pPr>
      <w:tabs>
        <w:tab w:val="clear" w:pos="708"/>
        <w:tab w:val="right" w:pos="11902" w:leader="dot"/>
      </w:tabs>
      <w:ind w:left="2264"/>
    </w:pPr>
    <w:rPr/>
  </w:style>
  <w:style w:type="paragraph" w:styleId="Indice10" w:customStyle="1">
    <w:name w:val="Indice 10"/>
    <w:basedOn w:val="Indice"/>
    <w:qFormat/>
    <w:pPr>
      <w:tabs>
        <w:tab w:val="clear" w:pos="708"/>
        <w:tab w:val="right" w:pos="12185" w:leader="dot"/>
      </w:tabs>
      <w:ind w:left="2547"/>
    </w:pPr>
    <w:rPr/>
  </w:style>
  <w:style w:type="paragraph" w:styleId="Contenutocornice" w:customStyle="1">
    <w:name w:val="Contenuto cornice"/>
    <w:basedOn w:val="Standard"/>
    <w:qFormat/>
    <w:pPr>
      <w:textAlignment w:val="auto"/>
    </w:pPr>
    <w:rPr>
      <w:rFonts w:ascii="CG Times (W1)" w:hAnsi="CG Times (W1)" w:eastAsia="CG Times (W1)" w:cs="CG Times (W1)"/>
      <w:lang w:eastAsia="hi-IN"/>
    </w:rPr>
  </w:style>
  <w:style w:type="paragraph" w:styleId="Citazioneinblocco" w:customStyle="1">
    <w:name w:val="Citazione in blocco"/>
    <w:basedOn w:val="StandardWW"/>
    <w:qFormat/>
    <w:pPr>
      <w:spacing w:before="0" w:after="283"/>
      <w:ind w:left="567" w:right="567"/>
    </w:pPr>
    <w:rPr/>
  </w:style>
  <w:style w:type="paragraph" w:styleId="Title">
    <w:name w:val="Title"/>
    <w:basedOn w:val="Titolo"/>
    <w:next w:val="TextbodyWW"/>
    <w:qFormat/>
    <w:pPr>
      <w:jc w:val="center"/>
    </w:pPr>
    <w:rPr>
      <w:sz w:val="56"/>
      <w:szCs w:val="56"/>
    </w:rPr>
  </w:style>
  <w:style w:type="paragraph" w:styleId="Subtitle">
    <w:name w:val="Subtitle"/>
    <w:basedOn w:val="Titolo"/>
    <w:next w:val="TextbodyWW"/>
    <w:qFormat/>
    <w:pPr>
      <w:spacing w:before="60" w:after="120"/>
      <w:jc w:val="center"/>
    </w:pPr>
    <w:rPr>
      <w:sz w:val="36"/>
      <w:szCs w:val="36"/>
    </w:rPr>
  </w:style>
  <w:style w:type="paragraph" w:styleId="Titolo10" w:customStyle="1">
    <w:name w:val="Titolo 10"/>
    <w:basedOn w:val="Titolo"/>
    <w:next w:val="TextbodyWW"/>
    <w:qFormat/>
    <w:pPr>
      <w:spacing w:before="60" w:after="60"/>
    </w:pPr>
    <w:rPr/>
  </w:style>
  <w:style w:type="paragraph" w:styleId="Titolodeliberaz" w:customStyle="1">
    <w:name w:val="titolo deliberaz"/>
    <w:basedOn w:val="StandardWW"/>
    <w:next w:val="StandardWW"/>
    <w:qFormat/>
    <w:pPr>
      <w:suppressAutoHyphens w:val="false"/>
      <w:spacing w:lineRule="exact" w:line="360" w:before="480" w:after="480"/>
      <w:jc w:val="center"/>
    </w:pPr>
    <w:rPr>
      <w:rFonts w:ascii="Futura Std Book" w:hAnsi="Futura Std Book" w:eastAsia="Futura Std Book" w:cs="Times New Roman"/>
      <w:b/>
      <w:sz w:val="18"/>
    </w:rPr>
  </w:style>
  <w:style w:type="paragraph" w:styleId="StileFuturaStdBook15ptGrassettoBiancoCentratoSinistro" w:customStyle="1">
    <w:name w:val="Stile Futura Std Book 15 pt Grassetto Bianco Centrato Sinistro..."/>
    <w:basedOn w:val="StandardWW"/>
    <w:qFormat/>
    <w:pPr>
      <w:ind w:left="-1620" w:right="-1418"/>
      <w:jc w:val="center"/>
    </w:pPr>
    <w:rPr>
      <w:rFonts w:ascii="Futura Std Book" w:hAnsi="Futura Std Book" w:eastAsia="Futura Std Book" w:cs="Futura Std Book"/>
      <w:b/>
      <w:bCs/>
      <w:color w:val="FFFFFF"/>
      <w:sz w:val="30"/>
    </w:rPr>
  </w:style>
  <w:style w:type="paragraph" w:styleId="StileStileFuturaStdBook15ptGrassettoBiancoCentratoSinistr" w:customStyle="1">
    <w:name w:val="Stile Stile Futura Std Book 15 pt Grassetto Bianco Centrato Sinistr..."/>
    <w:basedOn w:val="StileFuturaStdBook15ptGrassettoBiancoCentratoSinistro"/>
    <w:qFormat/>
    <w:pPr/>
    <w:rPr>
      <w:rFonts w:ascii="Arial" w:hAnsi="Arial" w:eastAsia="Arial" w:cs="Arial"/>
      <w:sz w:val="48"/>
      <w:szCs w:val="48"/>
    </w:rPr>
  </w:style>
  <w:style w:type="paragraph" w:styleId="Testopreformattato" w:customStyle="1">
    <w:name w:val="Testo preformattato"/>
    <w:basedOn w:val="StandardWW"/>
    <w:qFormat/>
    <w:pPr/>
    <w:rPr>
      <w:rFonts w:ascii="Liberation Mono" w:hAnsi="Liberation Mono" w:eastAsia="NSimSun" w:cs="Liberation Mono"/>
    </w:rPr>
  </w:style>
  <w:style w:type="paragraph" w:styleId="TableParagraph" w:customStyle="1">
    <w:name w:val="Table Paragraph"/>
    <w:basedOn w:val="Standard"/>
    <w:qFormat/>
    <w:pPr>
      <w:suppressAutoHyphens w:val="false"/>
      <w:spacing w:before="117" w:after="0"/>
      <w:ind w:left="70"/>
      <w:textAlignment w:val="auto"/>
    </w:pPr>
    <w:rPr>
      <w:rFonts w:ascii="Arial MT" w:hAnsi="Arial MT" w:eastAsia="Arial MT" w:cs="Arial MT"/>
      <w:kern w:val="0"/>
      <w:sz w:val="22"/>
      <w:szCs w:val="22"/>
      <w:lang w:eastAsia="en-US" w:bidi="ar-SA"/>
    </w:rPr>
  </w:style>
  <w:style w:type="paragraph" w:styleId="Contents1" w:customStyle="1">
    <w:name w:val="Contents 1"/>
    <w:basedOn w:val="Standard"/>
    <w:next w:val="Standard"/>
    <w:autoRedefine/>
    <w:qFormat/>
    <w:pPr>
      <w:spacing w:before="0" w:after="100"/>
    </w:pPr>
    <w:rPr>
      <w:szCs w:val="21"/>
    </w:rPr>
  </w:style>
  <w:style w:type="paragraph" w:styleId="Contents2" w:customStyle="1">
    <w:name w:val="Contents 2"/>
    <w:basedOn w:val="Standard"/>
    <w:next w:val="Standard"/>
    <w:autoRedefine/>
    <w:qFormat/>
    <w:pPr>
      <w:spacing w:before="0" w:after="100"/>
      <w:ind w:left="240"/>
    </w:pPr>
    <w:rPr>
      <w:szCs w:val="21"/>
    </w:rPr>
  </w:style>
  <w:style w:type="paragraph" w:styleId="Contents3" w:customStyle="1">
    <w:name w:val="Contents 3"/>
    <w:basedOn w:val="Standard"/>
    <w:next w:val="Standard"/>
    <w:autoRedefine/>
    <w:qFormat/>
    <w:pPr>
      <w:spacing w:before="0" w:after="100"/>
      <w:ind w:left="480"/>
    </w:pPr>
    <w:rPr>
      <w:szCs w:val="21"/>
    </w:rPr>
  </w:style>
  <w:style w:type="paragraph" w:styleId="FigureTabelle" w:customStyle="1">
    <w:name w:val="FigureTabelle"/>
    <w:basedOn w:val="Standard"/>
    <w:qFormat/>
    <w:pPr>
      <w:jc w:val="center"/>
    </w:pPr>
    <w:rPr>
      <w:i/>
      <w:sz w:val="20"/>
    </w:rPr>
  </w:style>
  <w:style w:type="paragraph" w:styleId="FigureIndex1" w:customStyle="1">
    <w:name w:val="Figure Index 1"/>
    <w:basedOn w:val="Standard"/>
    <w:next w:val="Standard"/>
    <w:qFormat/>
    <w:pPr/>
    <w:rPr>
      <w:szCs w:val="21"/>
    </w:rPr>
  </w:style>
  <w:style w:type="paragraph" w:styleId="NormaleCorpo" w:customStyle="1">
    <w:name w:val="NormaleCorpo"/>
    <w:basedOn w:val="Standard"/>
    <w:qFormat/>
    <w:pPr>
      <w:jc w:val="both"/>
    </w:pPr>
    <w:rPr>
      <w:lang w:eastAsia="hi-IN"/>
    </w:rPr>
  </w:style>
  <w:style w:type="paragraph" w:styleId="Bibliography">
    <w:name w:val="Bibliography"/>
    <w:basedOn w:val="Standard"/>
    <w:next w:val="Standard"/>
    <w:qFormat/>
    <w:pPr>
      <w:tabs>
        <w:tab w:val="clear" w:pos="708"/>
        <w:tab w:val="left" w:pos="768" w:leader="none"/>
      </w:tabs>
      <w:ind w:hanging="384" w:left="384"/>
    </w:pPr>
    <w:rPr>
      <w:szCs w:val="21"/>
    </w:rPr>
  </w:style>
  <w:style w:type="paragraph" w:styleId="NoSpacing">
    <w:name w:val="No Spacing"/>
    <w:qFormat/>
    <w:pPr>
      <w:widowControl w:val="false"/>
      <w:suppressAutoHyphens w:val="true"/>
      <w:bidi w:val="0"/>
      <w:spacing w:before="0" w:after="0"/>
      <w:jc w:val="left"/>
      <w:textAlignment w:val="baseline"/>
    </w:pPr>
    <w:rPr>
      <w:rFonts w:ascii="Times New Roman" w:hAnsi="Times New Roman" w:eastAsia="SimSun" w:cs="Mangal"/>
      <w:color w:val="auto"/>
      <w:kern w:val="2"/>
      <w:sz w:val="24"/>
      <w:szCs w:val="21"/>
      <w:lang w:val="it-IT" w:eastAsia="zh-CN" w:bidi="hi-IN"/>
    </w:rPr>
  </w:style>
  <w:style w:type="paragraph" w:styleId="Quote">
    <w:name w:val="Quote"/>
    <w:basedOn w:val="Standard"/>
    <w:next w:val="Standard"/>
    <w:qFormat/>
    <w:pPr>
      <w:spacing w:before="200" w:after="160"/>
      <w:ind w:left="864" w:right="864"/>
      <w:jc w:val="center"/>
    </w:pPr>
    <w:rPr>
      <w:i/>
      <w:iCs/>
      <w:color w:val="404040"/>
      <w:szCs w:val="21"/>
    </w:rPr>
  </w:style>
  <w:style w:type="paragraph" w:styleId="Intestazione1" w:customStyle="1">
    <w:name w:val="Intestazione1"/>
    <w:basedOn w:val="Standard"/>
    <w:next w:val="Textbody"/>
    <w:qFormat/>
    <w:pPr>
      <w:keepNext w:val="true"/>
      <w:widowControl/>
      <w:spacing w:lineRule="atLeast" w:line="300" w:before="240" w:after="120"/>
      <w:jc w:val="both"/>
      <w:textAlignment w:val="auto"/>
    </w:pPr>
    <w:rPr>
      <w:rFonts w:ascii="Arial" w:hAnsi="Arial" w:eastAsia="Microsoft YaHei" w:cs="Arial"/>
      <w:kern w:val="0"/>
      <w:sz w:val="28"/>
      <w:szCs w:val="28"/>
      <w:lang w:eastAsia="ar-SA" w:bidi="ar-SA"/>
    </w:rPr>
  </w:style>
  <w:style w:type="paragraph" w:styleId="Didascalia1" w:customStyle="1">
    <w:name w:val="Didascalia1"/>
    <w:basedOn w:val="Standard"/>
    <w:next w:val="Standard"/>
    <w:qFormat/>
    <w:pPr>
      <w:widowControl/>
      <w:spacing w:lineRule="atLeast" w:line="300" w:before="120" w:after="120"/>
      <w:jc w:val="center"/>
      <w:textAlignment w:val="auto"/>
    </w:pPr>
    <w:rPr>
      <w:rFonts w:ascii="Arial" w:hAnsi="Arial" w:eastAsia="Times New Roman" w:cs="Arial"/>
      <w:b/>
      <w:bCs/>
      <w:kern w:val="0"/>
      <w:sz w:val="20"/>
      <w:szCs w:val="20"/>
      <w:lang w:eastAsia="ar-SA" w:bidi="ar-SA"/>
    </w:rPr>
  </w:style>
  <w:style w:type="paragraph" w:styleId="Elencolinea" w:customStyle="1">
    <w:name w:val="Elenco linea"/>
    <w:basedOn w:val="Standard"/>
    <w:qFormat/>
    <w:pPr>
      <w:widowControl/>
      <w:tabs>
        <w:tab w:val="clear" w:pos="708"/>
        <w:tab w:val="left" w:pos="720" w:leader="none"/>
      </w:tabs>
      <w:spacing w:lineRule="atLeast" w:line="300" w:before="60" w:after="60"/>
      <w:ind w:hanging="360" w:left="360"/>
      <w:jc w:val="both"/>
      <w:textAlignment w:val="auto"/>
    </w:pPr>
    <w:rPr>
      <w:rFonts w:ascii="Arial" w:hAnsi="Arial" w:eastAsia="Times New Roman" w:cs="Arial"/>
      <w:kern w:val="0"/>
      <w:sz w:val="20"/>
      <w:lang w:eastAsia="ar-SA" w:bidi="ar-SA"/>
    </w:rPr>
  </w:style>
  <w:style w:type="paragraph" w:styleId="Elenconumero" w:customStyle="1">
    <w:name w:val="Elenco numero"/>
    <w:basedOn w:val="Elencolinea"/>
    <w:qFormat/>
    <w:pPr>
      <w:ind w:hanging="357" w:left="357"/>
    </w:pPr>
    <w:rPr/>
  </w:style>
  <w:style w:type="paragraph" w:styleId="Elencolettera" w:customStyle="1">
    <w:name w:val="Elenco lettera"/>
    <w:basedOn w:val="Elencolinea"/>
    <w:qFormat/>
    <w:pPr>
      <w:ind w:hanging="357" w:left="357"/>
    </w:pPr>
    <w:rPr/>
  </w:style>
  <w:style w:type="paragraph" w:styleId="Regionep1" w:customStyle="1">
    <w:name w:val="Regione p1"/>
    <w:basedOn w:val="Standard"/>
    <w:next w:val="Assesstop1"/>
    <w:qFormat/>
    <w:pPr>
      <w:widowControl/>
      <w:spacing w:lineRule="exact" w:line="200" w:before="200" w:after="200"/>
      <w:jc w:val="center"/>
      <w:textAlignment w:val="auto"/>
    </w:pPr>
    <w:rPr>
      <w:rFonts w:ascii="Futura Std Book" w:hAnsi="Futura Std Book" w:eastAsia="Times New Roman" w:cs="Futura Std Book"/>
      <w:b/>
      <w:caps/>
      <w:kern w:val="0"/>
      <w:sz w:val="17"/>
      <w:lang w:eastAsia="ar-SA" w:bidi="ar-SA"/>
    </w:rPr>
  </w:style>
  <w:style w:type="paragraph" w:styleId="Assesstop1" w:customStyle="1">
    <w:name w:val="Assessto p1"/>
    <w:basedOn w:val="Regionep1"/>
    <w:next w:val="DGServp1"/>
    <w:qFormat/>
    <w:pPr>
      <w:spacing w:before="0" w:after="480"/>
      <w:ind w:left="1701" w:right="1701"/>
    </w:pPr>
    <w:rPr>
      <w:b w:val="false"/>
      <w:sz w:val="16"/>
    </w:rPr>
  </w:style>
  <w:style w:type="paragraph" w:styleId="DGServp1" w:customStyle="1">
    <w:name w:val="DG_Serv p1"/>
    <w:basedOn w:val="Standard"/>
    <w:qFormat/>
    <w:pPr>
      <w:widowControl/>
      <w:spacing w:lineRule="exact" w:line="200" w:before="120" w:after="60"/>
      <w:jc w:val="both"/>
      <w:textAlignment w:val="auto"/>
    </w:pPr>
    <w:rPr>
      <w:rFonts w:ascii="Futura Std Book" w:hAnsi="Futura Std Book" w:eastAsia="Times New Roman" w:cs="Futura Std Book"/>
      <w:kern w:val="0"/>
      <w:sz w:val="18"/>
      <w:lang w:eastAsia="ar-SA" w:bidi="ar-SA"/>
    </w:rPr>
  </w:style>
  <w:style w:type="paragraph" w:styleId="Footnote" w:customStyle="1">
    <w:name w:val="Footnote"/>
    <w:basedOn w:val="Standard"/>
    <w:qFormat/>
    <w:pPr>
      <w:widowControl/>
      <w:tabs>
        <w:tab w:val="clear" w:pos="708"/>
        <w:tab w:val="left" w:pos="568" w:leader="none"/>
      </w:tabs>
      <w:spacing w:lineRule="exact" w:line="200" w:before="0" w:after="60"/>
      <w:ind w:hanging="284" w:left="284"/>
      <w:jc w:val="both"/>
      <w:textAlignment w:val="auto"/>
    </w:pPr>
    <w:rPr>
      <w:rFonts w:ascii="Arial" w:hAnsi="Arial" w:eastAsia="Times New Roman" w:cs="Arial"/>
      <w:kern w:val="0"/>
      <w:sz w:val="14"/>
      <w:szCs w:val="20"/>
      <w:lang w:eastAsia="ar-SA" w:bidi="ar-SA"/>
    </w:rPr>
  </w:style>
  <w:style w:type="paragraph" w:styleId="TitoloTabella1" w:customStyle="1">
    <w:name w:val="Titolo Tabella1"/>
    <w:basedOn w:val="Standard"/>
    <w:next w:val="Standard"/>
    <w:qFormat/>
    <w:pPr>
      <w:widowControl/>
      <w:tabs>
        <w:tab w:val="clear" w:pos="708"/>
        <w:tab w:val="left" w:pos="1702" w:leader="none"/>
      </w:tabs>
      <w:spacing w:before="360" w:after="120"/>
      <w:ind w:hanging="851" w:left="851"/>
      <w:textAlignment w:val="auto"/>
    </w:pPr>
    <w:rPr>
      <w:rFonts w:ascii="Futura Std Book" w:hAnsi="Futura Std Book" w:eastAsia="Times New Roman" w:cs="Futura Std Book"/>
      <w:kern w:val="0"/>
      <w:sz w:val="18"/>
      <w:lang w:eastAsia="ar-SA" w:bidi="ar-SA"/>
    </w:rPr>
  </w:style>
  <w:style w:type="paragraph" w:styleId="TestoTabella" w:customStyle="1">
    <w:name w:val="Testo Tabella"/>
    <w:basedOn w:val="Standard"/>
    <w:qFormat/>
    <w:pPr>
      <w:widowControl/>
      <w:overflowPunct w:val="false"/>
      <w:jc w:val="right"/>
    </w:pPr>
    <w:rPr>
      <w:rFonts w:ascii="Arial" w:hAnsi="Arial" w:eastAsia="Times New Roman" w:cs="Arial"/>
      <w:kern w:val="0"/>
      <w:sz w:val="16"/>
      <w:szCs w:val="20"/>
      <w:lang w:eastAsia="ar-SA" w:bidi="ar-SA"/>
    </w:rPr>
  </w:style>
  <w:style w:type="paragraph" w:styleId="Fonte" w:customStyle="1">
    <w:name w:val="Fonte"/>
    <w:basedOn w:val="TitoloTabella1"/>
    <w:next w:val="Standard"/>
    <w:qFormat/>
    <w:pPr>
      <w:tabs>
        <w:tab w:val="clear" w:pos="1702"/>
        <w:tab w:val="left" w:pos="908" w:leader="none"/>
      </w:tabs>
      <w:spacing w:before="60" w:after="0"/>
      <w:ind w:hanging="454" w:left="454"/>
      <w:jc w:val="both"/>
    </w:pPr>
    <w:rPr>
      <w:sz w:val="12"/>
    </w:rPr>
  </w:style>
  <w:style w:type="paragraph" w:styleId="Contents4" w:customStyle="1">
    <w:name w:val="Contents 4"/>
    <w:basedOn w:val="Standard"/>
    <w:next w:val="Standard"/>
    <w:qFormat/>
    <w:pPr>
      <w:widowControl/>
      <w:tabs>
        <w:tab w:val="clear" w:pos="708"/>
        <w:tab w:val="right" w:pos="9225" w:leader="none"/>
      </w:tabs>
      <w:spacing w:lineRule="exact" w:line="240" w:before="60" w:after="60"/>
      <w:ind w:left="720"/>
      <w:textAlignment w:val="auto"/>
    </w:pPr>
    <w:rPr>
      <w:rFonts w:ascii="Arial" w:hAnsi="Arial" w:eastAsia="Times New Roman" w:cs="Arial"/>
      <w:i/>
      <w:kern w:val="0"/>
      <w:sz w:val="18"/>
      <w:u w:val="dotted"/>
      <w:lang w:eastAsia="ar-SA" w:bidi="ar-SA"/>
    </w:rPr>
  </w:style>
  <w:style w:type="paragraph" w:styleId="Normalelt" w:customStyle="1">
    <w:name w:val="Normale lt"/>
    <w:basedOn w:val="Standard"/>
    <w:qFormat/>
    <w:pPr>
      <w:widowControl/>
      <w:spacing w:lineRule="atLeast" w:line="300" w:before="120" w:after="120"/>
      <w:textAlignment w:val="auto"/>
    </w:pPr>
    <w:rPr>
      <w:rFonts w:ascii="Arial" w:hAnsi="Arial" w:eastAsia="Times New Roman" w:cs="Arial"/>
      <w:kern w:val="0"/>
      <w:sz w:val="20"/>
      <w:lang w:eastAsia="ar-SA" w:bidi="ar-SA"/>
    </w:rPr>
  </w:style>
  <w:style w:type="paragraph" w:styleId="Segueindentato" w:customStyle="1">
    <w:name w:val="Segue indentato"/>
    <w:basedOn w:val="Standard"/>
    <w:qFormat/>
    <w:pPr>
      <w:widowControl/>
      <w:spacing w:lineRule="auto" w:line="247" w:before="0" w:after="120"/>
      <w:ind w:left="284"/>
      <w:jc w:val="both"/>
      <w:textAlignment w:val="auto"/>
    </w:pPr>
    <w:rPr>
      <w:rFonts w:ascii="Futura Std Book" w:hAnsi="Futura Std Book" w:eastAsia="MS Mincho" w:cs="Futura Std Book"/>
      <w:b/>
      <w:bCs/>
      <w:kern w:val="0"/>
      <w:sz w:val="20"/>
      <w:szCs w:val="20"/>
      <w:lang w:eastAsia="ar-SA" w:bidi="ar-SA"/>
    </w:rPr>
  </w:style>
  <w:style w:type="paragraph" w:styleId="StileFuturaStdBookGiustificatoprima6ptdopo6ptInterl" w:customStyle="1">
    <w:name w:val="Stile Futura Std Book Giustificato prima 6 pt  dopo 6 pt Interl..."/>
    <w:basedOn w:val="Standard"/>
    <w:qFormat/>
    <w:pPr>
      <w:widowControl/>
      <w:spacing w:lineRule="atLeast" w:line="300" w:before="120" w:after="120"/>
      <w:jc w:val="both"/>
      <w:textAlignment w:val="auto"/>
    </w:pPr>
    <w:rPr>
      <w:rFonts w:ascii="Futura Std Book" w:hAnsi="Futura Std Book" w:eastAsia="Times New Roman" w:cs="Futura Std Book"/>
      <w:kern w:val="0"/>
      <w:sz w:val="20"/>
      <w:szCs w:val="20"/>
      <w:lang w:eastAsia="ar-SA" w:bidi="ar-SA"/>
    </w:rPr>
  </w:style>
  <w:style w:type="paragraph" w:styleId="Testocommento1" w:customStyle="1">
    <w:name w:val="Testo commento1"/>
    <w:basedOn w:val="Standard"/>
    <w:qFormat/>
    <w:pPr>
      <w:widowControl/>
      <w:textAlignment w:val="auto"/>
    </w:pPr>
    <w:rPr>
      <w:rFonts w:eastAsia="Times New Roman" w:cs="Times New Roman"/>
      <w:kern w:val="0"/>
      <w:sz w:val="20"/>
      <w:szCs w:val="20"/>
      <w:lang w:eastAsia="ar-SA" w:bidi="ar-SA"/>
    </w:rPr>
  </w:style>
  <w:style w:type="paragraph" w:styleId="Rientrocorpodeltesto21" w:customStyle="1">
    <w:name w:val="Rientro corpo del testo 21"/>
    <w:basedOn w:val="Standard"/>
    <w:qFormat/>
    <w:pPr>
      <w:widowControl/>
      <w:ind w:left="360"/>
      <w:jc w:val="both"/>
      <w:textAlignment w:val="auto"/>
    </w:pPr>
    <w:rPr>
      <w:rFonts w:ascii="Futura Lt BT" w:hAnsi="Futura Lt BT" w:eastAsia="Times New Roman" w:cs="Futura Lt BT"/>
      <w:kern w:val="0"/>
      <w:sz w:val="20"/>
      <w:szCs w:val="20"/>
      <w:lang w:eastAsia="ar-SA" w:bidi="ar-SA"/>
    </w:rPr>
  </w:style>
  <w:style w:type="paragraph" w:styleId="Rientrocorpodeltesto31" w:customStyle="1">
    <w:name w:val="Rientro corpo del testo 31"/>
    <w:basedOn w:val="Standard"/>
    <w:qFormat/>
    <w:pPr>
      <w:widowControl/>
      <w:ind w:left="180"/>
      <w:textAlignment w:val="auto"/>
    </w:pPr>
    <w:rPr>
      <w:rFonts w:ascii="Futura Lt BT" w:hAnsi="Futura Lt BT" w:eastAsia="Times New Roman" w:cs="Futura Lt BT"/>
      <w:kern w:val="0"/>
      <w:sz w:val="20"/>
      <w:lang w:eastAsia="ar-SA" w:bidi="ar-SA"/>
    </w:rPr>
  </w:style>
  <w:style w:type="paragraph" w:styleId="Nomefirma" w:customStyle="1">
    <w:name w:val="nome firma"/>
    <w:basedOn w:val="Standard"/>
    <w:qFormat/>
    <w:pPr>
      <w:widowControl/>
      <w:spacing w:lineRule="atLeast" w:line="300"/>
      <w:ind w:left="4309"/>
      <w:jc w:val="center"/>
      <w:textAlignment w:val="auto"/>
    </w:pPr>
    <w:rPr>
      <w:rFonts w:ascii="Futura Std Book" w:hAnsi="Futura Std Book" w:eastAsia="Times New Roman" w:cs="Futura Std Book"/>
      <w:kern w:val="0"/>
      <w:sz w:val="18"/>
      <w:szCs w:val="20"/>
      <w:lang w:eastAsia="ar-SA" w:bidi="ar-SA"/>
    </w:rPr>
  </w:style>
  <w:style w:type="paragraph" w:styleId="Titololt" w:customStyle="1">
    <w:name w:val="Titolo lt"/>
    <w:basedOn w:val="Standard"/>
    <w:next w:val="Standard"/>
    <w:qFormat/>
    <w:pPr>
      <w:keepNext w:val="true"/>
      <w:widowControl/>
      <w:spacing w:before="240" w:after="0"/>
      <w:textAlignment w:val="auto"/>
    </w:pPr>
    <w:rPr>
      <w:rFonts w:ascii="Arial" w:hAnsi="Arial" w:eastAsia="Times New Roman" w:cs="Arial"/>
      <w:b/>
      <w:bCs/>
      <w:kern w:val="0"/>
      <w:sz w:val="18"/>
      <w:szCs w:val="18"/>
      <w:lang w:eastAsia="ar-SA" w:bidi="ar-SA"/>
    </w:rPr>
  </w:style>
  <w:style w:type="paragraph" w:styleId="Contents9" w:customStyle="1">
    <w:name w:val="Contents 9"/>
    <w:basedOn w:val="Standard"/>
    <w:next w:val="Standard"/>
    <w:qFormat/>
    <w:pPr>
      <w:widowControl/>
      <w:spacing w:lineRule="atLeast" w:line="300" w:before="120" w:after="120"/>
      <w:ind w:left="1600"/>
      <w:jc w:val="both"/>
      <w:textAlignment w:val="auto"/>
    </w:pPr>
    <w:rPr>
      <w:rFonts w:ascii="Arial" w:hAnsi="Arial" w:eastAsia="Times New Roman" w:cs="Arial"/>
      <w:kern w:val="0"/>
      <w:sz w:val="20"/>
      <w:lang w:eastAsia="ar-SA" w:bidi="ar-SA"/>
    </w:rPr>
  </w:style>
  <w:style w:type="paragraph" w:styleId="Contents7" w:customStyle="1">
    <w:name w:val="Contents 7"/>
    <w:basedOn w:val="Standard"/>
    <w:next w:val="Standard"/>
    <w:qFormat/>
    <w:pPr>
      <w:widowControl/>
      <w:spacing w:lineRule="atLeast" w:line="300" w:before="120" w:after="120"/>
      <w:ind w:left="1200"/>
      <w:jc w:val="both"/>
      <w:textAlignment w:val="auto"/>
    </w:pPr>
    <w:rPr>
      <w:rFonts w:ascii="Arial" w:hAnsi="Arial" w:eastAsia="Times New Roman" w:cs="Arial"/>
      <w:kern w:val="0"/>
      <w:sz w:val="20"/>
      <w:lang w:eastAsia="ar-SA" w:bidi="ar-SA"/>
    </w:rPr>
  </w:style>
  <w:style w:type="paragraph" w:styleId="StileFuturaStdBook15ptGrassettoCentratoprima80ptDop" w:customStyle="1">
    <w:name w:val="Stile Futura Std Book 15 pt Grassetto Centrato prima 80 pt Dop..."/>
    <w:basedOn w:val="Standard"/>
    <w:qFormat/>
    <w:pPr>
      <w:widowControl/>
      <w:spacing w:lineRule="atLeast" w:line="300" w:before="1600" w:after="1600"/>
      <w:jc w:val="center"/>
      <w:textAlignment w:val="auto"/>
    </w:pPr>
    <w:rPr>
      <w:rFonts w:ascii="Arial" w:hAnsi="Arial" w:eastAsia="Times New Roman" w:cs="Arial"/>
      <w:b/>
      <w:bCs/>
      <w:kern w:val="0"/>
      <w:sz w:val="30"/>
      <w:szCs w:val="30"/>
      <w:lang w:eastAsia="ar-SA" w:bidi="ar-SA"/>
    </w:rPr>
  </w:style>
  <w:style w:type="paragraph" w:styleId="StileTitolo1Sinistro0cmPrimariga0cm" w:customStyle="1">
    <w:name w:val="Stile Titolo 1 + Sinistro:  0 cm Prima riga:  0 cm"/>
    <w:basedOn w:val="Heading1"/>
    <w:qFormat/>
    <w:pPr>
      <w:pageBreakBefore w:val="false"/>
      <w:snapToGrid w:val="true"/>
      <w:spacing w:lineRule="atLeast" w:line="300" w:before="0" w:after="240"/>
      <w:ind w:left="720"/>
      <w:textAlignment w:val="auto"/>
    </w:pPr>
    <w:rPr>
      <w:rFonts w:ascii="Arial" w:hAnsi="Arial" w:eastAsia="Times New Roman" w:cs="Times New Roman"/>
      <w:bCs/>
      <w:caps/>
      <w:color w:val="auto"/>
      <w:sz w:val="20"/>
      <w:szCs w:val="24"/>
      <w:lang w:eastAsia="ar-SA"/>
    </w:rPr>
  </w:style>
  <w:style w:type="paragraph" w:styleId="Stile12ptGrassettoCentrato" w:customStyle="1">
    <w:name w:val="Stile 12 pt Grassetto Centrato"/>
    <w:basedOn w:val="Standard"/>
    <w:qFormat/>
    <w:pPr>
      <w:widowControl/>
      <w:spacing w:lineRule="atLeast" w:line="300" w:before="120" w:after="120"/>
      <w:jc w:val="center"/>
      <w:textAlignment w:val="auto"/>
    </w:pPr>
    <w:rPr>
      <w:rFonts w:ascii="Arial" w:hAnsi="Arial" w:eastAsia="Times New Roman" w:cs="Arial"/>
      <w:b/>
      <w:bCs/>
      <w:kern w:val="0"/>
      <w:lang w:eastAsia="ar-SA" w:bidi="ar-SA"/>
    </w:rPr>
  </w:style>
  <w:style w:type="paragraph" w:styleId="Contents5" w:customStyle="1">
    <w:name w:val="Contents 5"/>
    <w:basedOn w:val="Standard"/>
    <w:next w:val="Standard"/>
    <w:qFormat/>
    <w:pPr>
      <w:widowControl/>
      <w:spacing w:lineRule="auto" w:line="276" w:before="120" w:after="60"/>
      <w:ind w:left="879"/>
      <w:textAlignment w:val="auto"/>
    </w:pPr>
    <w:rPr>
      <w:rFonts w:ascii="Calibri" w:hAnsi="Calibri" w:eastAsia="Times New Roman" w:cs="Calibri"/>
      <w:i/>
      <w:kern w:val="0"/>
      <w:sz w:val="16"/>
      <w:szCs w:val="22"/>
      <w:u w:val="dotted"/>
      <w:lang w:eastAsia="ar-SA" w:bidi="ar-SA"/>
    </w:rPr>
  </w:style>
  <w:style w:type="paragraph" w:styleId="Contents6" w:customStyle="1">
    <w:name w:val="Contents 6"/>
    <w:basedOn w:val="Standard"/>
    <w:next w:val="Standard"/>
    <w:qFormat/>
    <w:pPr>
      <w:widowControl/>
      <w:spacing w:lineRule="auto" w:line="276" w:before="0" w:after="100"/>
      <w:ind w:left="1100"/>
      <w:textAlignment w:val="auto"/>
    </w:pPr>
    <w:rPr>
      <w:rFonts w:ascii="Calibri" w:hAnsi="Calibri" w:eastAsia="Times New Roman" w:cs="Times New Roman"/>
      <w:kern w:val="0"/>
      <w:sz w:val="22"/>
      <w:szCs w:val="22"/>
      <w:lang w:eastAsia="ar-SA" w:bidi="ar-SA"/>
    </w:rPr>
  </w:style>
  <w:style w:type="paragraph" w:styleId="Contents8" w:customStyle="1">
    <w:name w:val="Contents 8"/>
    <w:basedOn w:val="Standard"/>
    <w:next w:val="Standard"/>
    <w:qFormat/>
    <w:pPr>
      <w:widowControl/>
      <w:spacing w:lineRule="auto" w:line="276" w:before="0" w:after="100"/>
      <w:ind w:left="1540"/>
      <w:textAlignment w:val="auto"/>
    </w:pPr>
    <w:rPr>
      <w:rFonts w:ascii="Calibri" w:hAnsi="Calibri" w:eastAsia="Times New Roman" w:cs="Times New Roman"/>
      <w:kern w:val="0"/>
      <w:sz w:val="22"/>
      <w:szCs w:val="22"/>
      <w:lang w:eastAsia="ar-SA" w:bidi="ar-SA"/>
    </w:rPr>
  </w:style>
  <w:style w:type="paragraph" w:styleId="Stile1" w:customStyle="1">
    <w:name w:val="Stile1"/>
    <w:basedOn w:val="Heading2"/>
    <w:qFormat/>
    <w:pPr>
      <w:pageBreakBefore w:val="false"/>
      <w:tabs>
        <w:tab w:val="clear" w:pos="708"/>
        <w:tab w:val="left" w:pos="2268" w:leader="none"/>
      </w:tabs>
      <w:snapToGrid w:val="true"/>
      <w:spacing w:lineRule="atLeast" w:line="300" w:before="120" w:after="240"/>
      <w:ind w:hanging="567" w:left="1134"/>
      <w:textAlignment w:val="auto"/>
    </w:pPr>
    <w:rPr>
      <w:rFonts w:ascii="Arial" w:hAnsi="Arial" w:eastAsia="Times New Roman" w:cs="Arial"/>
      <w:iCs/>
      <w:color w:val="auto"/>
      <w:sz w:val="20"/>
      <w:szCs w:val="22"/>
      <w:lang w:eastAsia="ar-SA"/>
    </w:rPr>
  </w:style>
  <w:style w:type="paragraph" w:styleId="Giustificato" w:customStyle="1">
    <w:name w:val="Giustificato"/>
    <w:basedOn w:val="Normalelt"/>
    <w:qFormat/>
    <w:pPr>
      <w:spacing w:lineRule="exact" w:line="360"/>
      <w:jc w:val="both"/>
    </w:pPr>
    <w:rPr/>
  </w:style>
  <w:style w:type="paragraph" w:styleId="TESTO" w:customStyle="1">
    <w:name w:val="TESTO"/>
    <w:basedOn w:val="Standard"/>
    <w:qFormat/>
    <w:pPr>
      <w:widowControl/>
      <w:spacing w:lineRule="atLeast" w:line="300" w:before="0" w:after="120"/>
      <w:jc w:val="both"/>
      <w:textAlignment w:val="auto"/>
    </w:pPr>
    <w:rPr>
      <w:rFonts w:ascii="Arial" w:hAnsi="Arial" w:eastAsia="Times New Roman" w:cs="Arial"/>
      <w:kern w:val="0"/>
      <w:sz w:val="20"/>
      <w:lang w:eastAsia="ar-SA" w:bidi="ar-SA"/>
    </w:rPr>
  </w:style>
  <w:style w:type="paragraph" w:styleId="Application3" w:customStyle="1">
    <w:name w:val="Application3"/>
    <w:basedOn w:val="Standard"/>
    <w:qFormat/>
    <w:pPr>
      <w:tabs>
        <w:tab w:val="clear" w:pos="708"/>
        <w:tab w:val="left" w:pos="495" w:leader="none"/>
      </w:tabs>
      <w:spacing w:before="0" w:after="120"/>
      <w:ind w:left="135"/>
      <w:jc w:val="both"/>
      <w:textAlignment w:val="auto"/>
    </w:pPr>
    <w:rPr>
      <w:rFonts w:ascii="Book Antiqua" w:hAnsi="Book Antiqua" w:eastAsia="Times New Roman" w:cs="Book Antiqua"/>
      <w:kern w:val="0"/>
      <w:sz w:val="20"/>
      <w:szCs w:val="20"/>
      <w:lang w:eastAsia="ar-SA" w:bidi="ar-SA"/>
    </w:rPr>
  </w:style>
  <w:style w:type="paragraph" w:styleId="Normale8p" w:customStyle="1">
    <w:name w:val="Normale+8p"/>
    <w:basedOn w:val="Standard"/>
    <w:qFormat/>
    <w:pPr>
      <w:widowControl/>
      <w:spacing w:before="0" w:after="120"/>
      <w:textAlignment w:val="auto"/>
    </w:pPr>
    <w:rPr>
      <w:rFonts w:eastAsia="Times New Roman" w:cs="Times New Roman"/>
      <w:kern w:val="0"/>
      <w:lang w:eastAsia="ar-SA" w:bidi="ar-SA"/>
    </w:rPr>
  </w:style>
  <w:style w:type="paragraph" w:styleId="C5" w:customStyle="1">
    <w:name w:val="c5"/>
    <w:basedOn w:val="Standard"/>
    <w:qFormat/>
    <w:pPr>
      <w:widowControl/>
      <w:spacing w:before="100" w:after="100"/>
      <w:jc w:val="both"/>
      <w:textAlignment w:val="auto"/>
    </w:pPr>
    <w:rPr>
      <w:rFonts w:ascii="Arial Unicode MS" w:hAnsi="Arial Unicode MS" w:eastAsia="Arial Unicode MS" w:cs="Arial Unicode MS"/>
      <w:kern w:val="0"/>
      <w:lang w:eastAsia="ar-SA" w:bidi="ar-SA"/>
    </w:rPr>
  </w:style>
  <w:style w:type="paragraph" w:styleId="P2" w:customStyle="1">
    <w:name w:val="p2"/>
    <w:basedOn w:val="Standard"/>
    <w:qFormat/>
    <w:pPr>
      <w:tabs>
        <w:tab w:val="clear" w:pos="708"/>
        <w:tab w:val="left" w:pos="7480" w:leader="none"/>
      </w:tabs>
      <w:spacing w:lineRule="atLeast" w:line="220" w:before="0" w:after="120"/>
      <w:ind w:left="3020"/>
      <w:textAlignment w:val="auto"/>
    </w:pPr>
    <w:rPr>
      <w:rFonts w:eastAsia="Times New Roman" w:cs="Times New Roman"/>
      <w:kern w:val="0"/>
      <w:sz w:val="20"/>
      <w:lang w:eastAsia="ar-SA" w:bidi="ar-SA"/>
    </w:rPr>
  </w:style>
  <w:style w:type="paragraph" w:styleId="P4" w:customStyle="1">
    <w:name w:val="p4"/>
    <w:basedOn w:val="Standard"/>
    <w:qFormat/>
    <w:pPr>
      <w:spacing w:lineRule="atLeast" w:line="360" w:before="0" w:after="120"/>
      <w:textAlignment w:val="auto"/>
    </w:pPr>
    <w:rPr>
      <w:rFonts w:eastAsia="Times New Roman" w:cs="Times New Roman"/>
      <w:kern w:val="0"/>
      <w:sz w:val="20"/>
      <w:lang w:eastAsia="ar-SA" w:bidi="ar-SA"/>
    </w:rPr>
  </w:style>
  <w:style w:type="paragraph" w:styleId="Blockquote" w:customStyle="1">
    <w:name w:val="Blockquote"/>
    <w:basedOn w:val="Standard"/>
    <w:qFormat/>
    <w:pPr>
      <w:widowControl/>
      <w:spacing w:lineRule="auto" w:line="360" w:before="100" w:after="100"/>
      <w:ind w:firstLine="510"/>
      <w:jc w:val="both"/>
      <w:textAlignment w:val="auto"/>
    </w:pPr>
    <w:rPr>
      <w:rFonts w:eastAsia="Times New Roman" w:cs="Times New Roman"/>
      <w:kern w:val="0"/>
      <w:szCs w:val="20"/>
      <w:lang w:eastAsia="ar-SA" w:bidi="ar-SA"/>
    </w:rPr>
  </w:style>
  <w:style w:type="paragraph" w:styleId="P3" w:customStyle="1">
    <w:name w:val="p3"/>
    <w:basedOn w:val="Standard"/>
    <w:qFormat/>
    <w:pPr>
      <w:tabs>
        <w:tab w:val="clear" w:pos="708"/>
        <w:tab w:val="left" w:pos="1448" w:leader="none"/>
      </w:tabs>
      <w:spacing w:lineRule="atLeast" w:line="240"/>
      <w:ind w:hanging="1152" w:left="288"/>
      <w:textAlignment w:val="auto"/>
    </w:pPr>
    <w:rPr>
      <w:rFonts w:eastAsia="Times New Roman" w:cs="Times New Roman"/>
      <w:kern w:val="0"/>
      <w:sz w:val="20"/>
      <w:lang w:eastAsia="ar-SA" w:bidi="ar-SA"/>
    </w:rPr>
  </w:style>
  <w:style w:type="paragraph" w:styleId="Intestazionetabella" w:customStyle="1">
    <w:name w:val="Intestazione tabella"/>
    <w:basedOn w:val="Contenutotabella"/>
    <w:qFormat/>
    <w:pPr>
      <w:jc w:val="center"/>
    </w:pPr>
    <w:rPr>
      <w:b/>
      <w:bCs/>
    </w:rPr>
  </w:style>
  <w:style w:type="paragraph" w:styleId="Oggetto" w:customStyle="1">
    <w:name w:val="Oggetto"/>
    <w:basedOn w:val="Standard"/>
    <w:qFormat/>
    <w:pPr>
      <w:spacing w:lineRule="auto" w:line="288" w:before="120" w:after="0"/>
      <w:ind w:hanging="851" w:left="851"/>
    </w:pPr>
    <w:rPr>
      <w:b/>
    </w:rPr>
  </w:style>
  <w:style w:type="numbering" w:styleId="NoList" w:default="1">
    <w:name w:val="No List"/>
    <w:uiPriority w:val="99"/>
    <w:semiHidden/>
    <w:unhideWhenUsed/>
    <w:qFormat/>
  </w:style>
  <w:style w:type="numbering" w:styleId="NoListWW" w:customStyle="1">
    <w:name w:val="No List (WW)"/>
    <w:qFormat/>
  </w:style>
  <w:style w:type="numbering" w:styleId="WW8Num1" w:customStyle="1">
    <w:name w:val="WW8Num1"/>
    <w:qFormat/>
  </w:style>
  <w:style w:type="numbering" w:styleId="WW8Num2" w:customStyle="1">
    <w:name w:val="WW8Num2"/>
    <w:qFormat/>
  </w:style>
  <w:style w:type="numbering" w:styleId="WW8Num3" w:customStyle="1">
    <w:name w:val="WW8Num3"/>
    <w:qFormat/>
  </w:style>
  <w:style w:type="numbering" w:styleId="WW8Num4" w:customStyle="1">
    <w:name w:val="WW8Num4"/>
    <w:qFormat/>
  </w:style>
  <w:style w:type="numbering" w:styleId="WW8Num5" w:customStyle="1">
    <w:name w:val="WW8Num5"/>
    <w:qFormat/>
  </w:style>
  <w:style w:type="numbering" w:styleId="WW8Num6" w:customStyle="1">
    <w:name w:val="WW8Num6"/>
    <w:qFormat/>
  </w:style>
  <w:style w:type="numbering" w:styleId="WW8Num7" w:customStyle="1">
    <w:name w:val="WW8Num7"/>
    <w:qFormat/>
  </w:style>
  <w:style w:type="numbering" w:styleId="WW8Num8" w:customStyle="1">
    <w:name w:val="WW8Num8"/>
    <w:qFormat/>
  </w:style>
  <w:style w:type="numbering" w:styleId="WW8Num9" w:customStyle="1">
    <w:name w:val="WW8Num9"/>
    <w:qFormat/>
  </w:style>
  <w:style w:type="numbering" w:styleId="WW8Num10" w:customStyle="1">
    <w:name w:val="WW8Num10"/>
    <w:qFormat/>
  </w:style>
  <w:style w:type="numbering" w:styleId="WW8Num11" w:customStyle="1">
    <w:name w:val="WW8Num11"/>
    <w:qFormat/>
  </w:style>
  <w:style w:type="numbering" w:styleId="WW8Num12" w:customStyle="1">
    <w:name w:val="WW8Num12"/>
    <w:qFormat/>
  </w:style>
  <w:style w:type="numbering" w:styleId="WW8Num13" w:customStyle="1">
    <w:name w:val="WW8Num13"/>
    <w:qFormat/>
  </w:style>
  <w:style w:type="numbering" w:styleId="WW8Num14" w:customStyle="1">
    <w:name w:val="WW8Num14"/>
    <w:qFormat/>
  </w:style>
  <w:style w:type="numbering" w:styleId="WW8Num15" w:customStyle="1">
    <w:name w:val="WW8Num15"/>
    <w:qFormat/>
  </w:style>
  <w:style w:type="numbering" w:styleId="WW8Num16" w:customStyle="1">
    <w:name w:val="WW8Num16"/>
    <w:qFormat/>
  </w:style>
  <w:style w:type="numbering" w:styleId="WW8Num17" w:customStyle="1">
    <w:name w:val="WW8Num17"/>
    <w:qFormat/>
  </w:style>
  <w:style w:type="numbering" w:styleId="WW8Num18" w:customStyle="1">
    <w:name w:val="WW8Num18"/>
    <w:qFormat/>
  </w:style>
  <w:style w:type="numbering" w:styleId="WW8Num19" w:customStyle="1">
    <w:name w:val="WW8Num19"/>
    <w:qFormat/>
  </w:style>
  <w:style w:type="numbering" w:styleId="WW8Num20" w:customStyle="1">
    <w:name w:val="WW8Num20"/>
    <w:qFormat/>
  </w:style>
  <w:style w:type="numbering" w:styleId="WW8Num21" w:customStyle="1">
    <w:name w:val="WW8Num21"/>
    <w:qFormat/>
  </w:style>
  <w:style w:type="numbering" w:styleId="WW8Num22" w:customStyle="1">
    <w:name w:val="WW8Num22"/>
    <w:qFormat/>
  </w:style>
  <w:style w:type="numbering" w:styleId="WW8Num23" w:customStyle="1">
    <w:name w:val="WW8Num23"/>
    <w:qFormat/>
  </w:style>
  <w:style w:type="numbering" w:styleId="WW8Num24" w:customStyle="1">
    <w:name w:val="WW8Num24"/>
    <w:qFormat/>
  </w:style>
  <w:style w:type="numbering" w:styleId="WW8Num25" w:customStyle="1">
    <w:name w:val="WW8Num25"/>
    <w:qFormat/>
  </w:style>
  <w:style w:type="numbering" w:styleId="WW8Num26" w:customStyle="1">
    <w:name w:val="WW8Num26"/>
    <w:qFormat/>
  </w:style>
  <w:style w:type="numbering" w:styleId="WW8Num27" w:customStyle="1">
    <w:name w:val="WW8Num27"/>
    <w:qFormat/>
  </w:style>
  <w:style w:type="numbering" w:styleId="WW8Num28" w:customStyle="1">
    <w:name w:val="WW8Num28"/>
    <w:qFormat/>
  </w:style>
  <w:style w:type="numbering" w:styleId="WW8Num29" w:customStyle="1">
    <w:name w:val="WW8Num29"/>
    <w:qFormat/>
  </w:style>
  <w:style w:type="numbering" w:styleId="WW8Num30" w:customStyle="1">
    <w:name w:val="WW8Num30"/>
    <w:qFormat/>
  </w:style>
  <w:style w:type="numbering" w:styleId="WW8Num31" w:customStyle="1">
    <w:name w:val="WW8Num31"/>
    <w:qFormat/>
  </w:style>
  <w:style w:type="numbering" w:styleId="RTFNum2" w:customStyle="1">
    <w:name w:val="RTF_Num 2"/>
    <w:qFormat/>
  </w:style>
  <w:style w:type="numbering" w:styleId="RTFNum3" w:customStyle="1">
    <w:name w:val="RTF_Num 3"/>
    <w:qFormat/>
  </w:style>
  <w:style w:type="numbering" w:styleId="RTFNum4" w:customStyle="1">
    <w:name w:val="RTF_Num 4"/>
    <w:qFormat/>
  </w:style>
  <w:style w:type="table" w:default="1" w:styleId="Tabellanormale">
    <w:name w:val="Normal Table"/>
    <w:uiPriority w:val="99"/>
    <w:semiHidden/>
    <w:unhideWhenUsed/>
    <w:tblPr>
      <w:tblCellMar>
        <w:top w:w="0" w:type="dxa"/>
        <w:left w:w="108" w:type="dxa"/>
        <w:bottom w:w="0" w:type="dxa"/>
        <w:right w:w="108" w:type="dxa"/>
      </w:tblCellMar>
    </w:tblPr>
  </w:style>
  <w:style w:type="table" w:styleId="Tabellagriglia5scura-colore6">
    <w:name w:val="Grid Table 5 Dark Accent 6"/>
    <w:basedOn w:val="Tabellanormale"/>
    <w:uiPriority w:val="50"/>
    <w:rsid w:val="00e522e0"/>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ellagriglia4-colore6">
    <w:name w:val="Grid Table 4 Accent 6"/>
    <w:basedOn w:val="Tabellanormale"/>
    <w:uiPriority w:val="49"/>
    <w:rsid w:val="00d74afa"/>
    <w:tblPr>
      <w:tblStyleRowBandSize w:val="1"/>
      <w:tblStyleColBandSize w:val="1"/>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color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w:type="lastRow">
      <w:rPr>
        <w:b/>
        <w:bCs/>
      </w:rPr>
      <w:tblPr/>
      <w:tcPr>
        <w:tcBorders>
          <w:top w:val="double" w:color="70AD47" w:themeColor="accent6" w:sz="4" w:space="0"/>
        </w:tcBorders>
      </w:tcPr>
    </w:tblStylePr>
    <w:tblStylePr w:type="firstCol">
      <w:rPr>
        <w:b/>
        <w:bCs/>
      </w:rPr>
      <w:tblPr/>
    </w:tblStylePr>
    <w:tblStylePr w:type="lastCol">
      <w:rPr>
        <w:b/>
        <w:bCs/>
      </w:rPr>
      <w:tbl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mailto:protocollo@pec.cittametropolitanacagliari.it" TargetMode="External"/><Relationship Id="rId4" Type="http://schemas.openxmlformats.org/officeDocument/2006/relationships/hyperlink" Target="mailto:osservazionipda@cittametropolitanacagliari.it" TargetMode="External"/><Relationship Id="rId5" Type="http://schemas.openxmlformats.org/officeDocument/2006/relationships/hyperlink" Target="https://istanze.cittametropolitanacagliari.it/portal/servizi/moduli/pre_auth" TargetMode="External"/><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image" Target="media/image4.wmf"/><Relationship Id="rId9" Type="http://schemas.openxmlformats.org/officeDocument/2006/relationships/image" Target="media/image5.wmf"/><Relationship Id="rId10" Type="http://schemas.openxmlformats.org/officeDocument/2006/relationships/image" Target="media/image6.wmf"/><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header" Target="header1.xml"/><Relationship Id="rId26" Type="http://schemas.openxmlformats.org/officeDocument/2006/relationships/footer" Target="footer1.xml"/><Relationship Id="rId27" Type="http://schemas.openxmlformats.org/officeDocument/2006/relationships/footer" Target="footer2.xml"/><Relationship Id="rId28" Type="http://schemas.openxmlformats.org/officeDocument/2006/relationships/header" Target="header2.xml"/><Relationship Id="rId29" Type="http://schemas.openxmlformats.org/officeDocument/2006/relationships/header" Target="header3.xml"/><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header" Target="header4.xml"/><Relationship Id="rId33" Type="http://schemas.openxmlformats.org/officeDocument/2006/relationships/header" Target="header5.xml"/><Relationship Id="rId34" Type="http://schemas.openxmlformats.org/officeDocument/2006/relationships/footer" Target="footer5.xml"/><Relationship Id="rId35" Type="http://schemas.openxmlformats.org/officeDocument/2006/relationships/footer" Target="footer6.xml"/><Relationship Id="rId36" Type="http://schemas.openxmlformats.org/officeDocument/2006/relationships/numbering" Target="numbering.xml"/><Relationship Id="rId37" Type="http://schemas.openxmlformats.org/officeDocument/2006/relationships/fontTable" Target="fontTable.xml"/><Relationship Id="rId38" Type="http://schemas.openxmlformats.org/officeDocument/2006/relationships/settings" Target="settings.xml"/><Relationship Id="rId39" Type="http://schemas.openxmlformats.org/officeDocument/2006/relationships/theme" Target="theme/theme1.xml"/><Relationship Id="rId40"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
</Relationships>
</file>

<file path=word/_rels/header3.xml.rels><?xml version="1.0" encoding="UTF-8"?>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
</Relationships>
</file>

<file path=word/_rels/header5.xml.rels><?xml version="1.0" encoding="UTF-8"?>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
</Relationships>
</file>

<file path=word/theme/theme1.xml><?xml version="1.0" encoding="utf-8"?>
<a:theme xmlns:a="http://schemas.openxmlformats.org/drawingml/2006/main" xmlns:r="http://schemas.openxmlformats.org/officeDocument/2006/relationships" name="Tema di Offic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B48D0-1735-4712-830C-78F2DBAB56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Application>LibreOffice/7.6.7.2$Windows_X86_64 LibreOffice_project/dd47e4b30cb7dab30588d6c79c651f218165e3c5</Application>
  <AppVersion>15.0000</AppVersion>
  <Pages>94</Pages>
  <Words>18574</Words>
  <Characters>107037</Characters>
  <CharactersWithSpaces>121631</CharactersWithSpaces>
  <Paragraphs>4055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2024-12-12T17:53:00Z</dcterms:created>
  <dc:creator>Tino5</dc:creator>
  <dc:description/>
  <dc:language>it-IT</dc:language>
  <cp:lastModifiedBy>Alberto</cp:lastModifiedBy>
  <cp:lastPrinted>2024-11-22T10:04:00Z</cp:lastPrinted>
  <dcterms:modified xsi:type="dcterms:W3CDTF">2024-12-13T12:00:14Z</dcterms:modified>
  <cp:revision>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y fmtid="{D5CDD505-2E9C-101B-9397-08002B2CF9AE}" pid="6" name="ZOTERO_PREF_1">
    <vt:lpwstr>&lt;data data-version="3" zotero-version="6.0.36"&gt;&lt;session id="Fof1wPDg"/&gt;&lt;style id="http://www.zotero.org/styles/ieee" locale="it-IT" hasBibliography="1" bibliographyStyleHasBeenSet="1"/&gt;&lt;prefs&gt;&lt;pref name="fieldType" value="Field"/&gt;&lt;pref name="automaticJour</vt:lpwstr>
  </property>
  <property fmtid="{D5CDD505-2E9C-101B-9397-08002B2CF9AE}" pid="7" name="ZOTERO_PREF_2">
    <vt:lpwstr>nalAbbreviations" value="true"/&gt;&lt;pref name="dontAskDelayCitationUpdates" value="true"/&gt;&lt;/prefs&gt;&lt;/data&gt;</vt:lpwstr>
  </property>
</Properties>
</file>